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916" w:tblpY="4663"/>
        <w:tblW w:w="6300" w:type="dxa"/>
        <w:tblBorders>
          <w:top w:val="single" w:sz="48" w:space="0" w:color="CBB677"/>
          <w:left w:val="single" w:sz="48" w:space="0" w:color="CBB677"/>
          <w:bottom w:val="single" w:sz="48" w:space="0" w:color="CBB677"/>
          <w:right w:val="single" w:sz="48" w:space="0" w:color="CBB677"/>
        </w:tblBorders>
        <w:tblCellMar>
          <w:top w:w="360" w:type="dxa"/>
          <w:left w:w="360" w:type="dxa"/>
          <w:bottom w:w="360" w:type="dxa"/>
          <w:right w:w="180" w:type="dxa"/>
        </w:tblCellMar>
        <w:tblLook w:val="04A0" w:firstRow="1" w:lastRow="0" w:firstColumn="1" w:lastColumn="0" w:noHBand="0" w:noVBand="1"/>
      </w:tblPr>
      <w:tblGrid>
        <w:gridCol w:w="6300"/>
      </w:tblGrid>
      <w:tr w:rsidR="00E30EFC" w:rsidRPr="009C3168" w14:paraId="62226164" w14:textId="77777777" w:rsidTr="00E30EFC">
        <w:trPr>
          <w:trHeight w:val="5201"/>
        </w:trPr>
        <w:tc>
          <w:tcPr>
            <w:tcW w:w="6300" w:type="dxa"/>
            <w:shd w:val="clear" w:color="auto" w:fill="auto"/>
            <w:tcMar>
              <w:top w:w="360" w:type="dxa"/>
              <w:left w:w="360" w:type="dxa"/>
              <w:right w:w="360" w:type="dxa"/>
            </w:tcMar>
          </w:tcPr>
          <w:p w14:paraId="333B75E1" w14:textId="08BA8665" w:rsidR="00E30EFC" w:rsidRPr="009C3168" w:rsidRDefault="00E30EFC" w:rsidP="00E30EFC">
            <w:pPr>
              <w:spacing w:line="500" w:lineRule="exact"/>
              <w:rPr>
                <w:rFonts w:ascii="Calibri" w:eastAsia="MS Mincho" w:hAnsi="Calibri" w:cs="Calibri"/>
                <w:bCs/>
                <w:color w:val="006A71"/>
                <w:sz w:val="50"/>
                <w:szCs w:val="50"/>
              </w:rPr>
            </w:pPr>
            <w:bookmarkStart w:id="0" w:name="_GoBack"/>
            <w:bookmarkEnd w:id="0"/>
            <w:r>
              <w:rPr>
                <w:rFonts w:ascii="Calibri" w:hAnsi="Calibri"/>
                <w:bCs/>
                <w:color w:val="006A71"/>
                <w:sz w:val="50"/>
                <w:szCs w:val="50"/>
              </w:rPr>
              <w:t xml:space="preserve">Politique d’orientation </w:t>
            </w:r>
            <w:r w:rsidR="0096543B">
              <w:rPr>
                <w:rFonts w:ascii="Calibri" w:hAnsi="Calibri"/>
                <w:bCs/>
                <w:color w:val="006A71"/>
                <w:sz w:val="50"/>
                <w:szCs w:val="50"/>
              </w:rPr>
              <w:br/>
            </w:r>
            <w:r>
              <w:rPr>
                <w:rFonts w:ascii="Calibri" w:hAnsi="Calibri"/>
                <w:bCs/>
                <w:color w:val="006A71"/>
                <w:sz w:val="50"/>
                <w:szCs w:val="50"/>
              </w:rPr>
              <w:t>et de formation des administrateurs à l’OIRPC</w:t>
            </w:r>
          </w:p>
          <w:p w14:paraId="0B2611B8" w14:textId="77777777" w:rsidR="00E30EFC" w:rsidRPr="009C3168" w:rsidRDefault="00E30EFC" w:rsidP="00E30EFC">
            <w:pPr>
              <w:spacing w:line="500" w:lineRule="exact"/>
              <w:rPr>
                <w:rFonts w:ascii="Calibri" w:eastAsia="MS Mincho" w:hAnsi="Calibri" w:cs="Calibri"/>
                <w:bCs/>
                <w:color w:val="006A71"/>
                <w:sz w:val="50"/>
                <w:szCs w:val="50"/>
              </w:rPr>
            </w:pPr>
          </w:p>
          <w:p w14:paraId="4E827AED" w14:textId="77777777" w:rsidR="00E30EFC" w:rsidRPr="009C3168" w:rsidRDefault="00E30EFC" w:rsidP="00E30EFC">
            <w:pPr>
              <w:spacing w:line="500" w:lineRule="exact"/>
              <w:rPr>
                <w:rFonts w:ascii="Calibri" w:eastAsia="MS Mincho" w:hAnsi="Calibri" w:cs="Calibri"/>
                <w:bCs/>
                <w:color w:val="006A71"/>
                <w:sz w:val="50"/>
                <w:szCs w:val="50"/>
              </w:rPr>
            </w:pPr>
          </w:p>
          <w:p w14:paraId="7EB2A555" w14:textId="77777777" w:rsidR="00E30EFC" w:rsidRPr="00E56785" w:rsidRDefault="008A4818" w:rsidP="00E30EFC">
            <w:pPr>
              <w:spacing w:line="300" w:lineRule="exact"/>
              <w:rPr>
                <w:rFonts w:ascii="Calibri" w:hAnsi="Calibri" w:cs="Calibri"/>
                <w:b/>
                <w:sz w:val="28"/>
                <w:szCs w:val="28"/>
              </w:rPr>
            </w:pPr>
            <w:r>
              <w:rPr>
                <w:rFonts w:ascii="Calibri" w:hAnsi="Calibri"/>
                <w:b/>
                <w:sz w:val="28"/>
                <w:szCs w:val="28"/>
              </w:rPr>
              <w:t>19 juin 2018</w:t>
            </w:r>
          </w:p>
          <w:p w14:paraId="267D9E20" w14:textId="77777777" w:rsidR="00E30EFC" w:rsidRPr="009C3168" w:rsidRDefault="00E30EFC" w:rsidP="00E30EFC">
            <w:pPr>
              <w:spacing w:line="300" w:lineRule="exact"/>
              <w:rPr>
                <w:rFonts w:ascii="Calibri" w:hAnsi="Calibri" w:cs="Calibri"/>
                <w:i/>
              </w:rPr>
            </w:pPr>
          </w:p>
          <w:p w14:paraId="3C27E8FF" w14:textId="77777777" w:rsidR="00E30EFC" w:rsidRPr="009C3168" w:rsidRDefault="00E30EFC" w:rsidP="00E30EFC">
            <w:pPr>
              <w:rPr>
                <w:rFonts w:ascii="Calibri" w:eastAsia="MS Mincho" w:hAnsi="Calibri" w:cs="Calibri"/>
                <w:b/>
                <w:bCs/>
                <w:sz w:val="26"/>
                <w:szCs w:val="26"/>
              </w:rPr>
            </w:pPr>
          </w:p>
        </w:tc>
      </w:tr>
    </w:tbl>
    <w:p w14:paraId="5BFF229A" w14:textId="77777777" w:rsidR="009029ED" w:rsidRDefault="00DB61D5">
      <w:pPr>
        <w:pStyle w:val="TM1"/>
        <w:tabs>
          <w:tab w:val="left" w:pos="720"/>
          <w:tab w:val="right" w:leader="dot" w:pos="8630"/>
        </w:tabs>
      </w:pPr>
      <w:r>
        <w:pict w14:anchorId="780BE3FF">
          <v:shapetype id="_x0000_t202" coordsize="21600,21600" o:spt="202" path="m,l,21600r21600,l21600,xe">
            <v:stroke joinstyle="miter"/>
            <v:path gradientshapeok="t" o:connecttype="rect"/>
          </v:shapetype>
          <v:shape id="_x0000_s1026" type="#_x0000_t202" alt="" style="position:absolute;left:0;text-align:left;margin-left:270pt;margin-top:-225pt;width:153pt;height:54.2pt;z-index:251657728;mso-wrap-style:square;mso-wrap-edited:f;mso-width-percent:0;mso-height-percent:0;mso-position-horizontal-relative:text;mso-position-vertical-relative:text;mso-width-percent:0;mso-height-percent:0;v-text-anchor:top" stroked="f">
            <v:textbox>
              <w:txbxContent>
                <w:p w14:paraId="386AB4D3" w14:textId="77777777" w:rsidR="00E30EFC" w:rsidRPr="00C825CF" w:rsidRDefault="00E30EFC" w:rsidP="009029ED">
                  <w:pPr>
                    <w:jc w:val="right"/>
                    <w:rPr>
                      <w:rFonts w:ascii="Calibri" w:hAnsi="Calibri" w:cs="Calibri"/>
                      <w:b/>
                    </w:rPr>
                  </w:pPr>
                  <w:r>
                    <w:rPr>
                      <w:rFonts w:ascii="Calibri" w:hAnsi="Calibri"/>
                      <w:b/>
                    </w:rPr>
                    <w:t>Tab No. D-3</w:t>
                  </w:r>
                </w:p>
                <w:p w14:paraId="70A7DBE4" w14:textId="77777777" w:rsidR="00E30EFC" w:rsidRDefault="00E30EFC" w:rsidP="009029ED">
                  <w:pPr>
                    <w:jc w:val="right"/>
                  </w:pPr>
                </w:p>
                <w:p w14:paraId="72ABA07A" w14:textId="77777777" w:rsidR="00E30EFC" w:rsidRDefault="00E30EFC" w:rsidP="009029ED">
                  <w:pPr>
                    <w:jc w:val="right"/>
                  </w:pPr>
                </w:p>
              </w:txbxContent>
            </v:textbox>
          </v:shape>
        </w:pict>
      </w:r>
    </w:p>
    <w:p w14:paraId="65DF4FA6" w14:textId="77777777" w:rsidR="009029ED" w:rsidDel="00F94D44" w:rsidRDefault="009029ED">
      <w:pPr>
        <w:pStyle w:val="Titre7"/>
      </w:pPr>
    </w:p>
    <w:p w14:paraId="42FF8E1D" w14:textId="77777777" w:rsidR="009029ED" w:rsidRPr="00F94D44" w:rsidRDefault="009029ED" w:rsidP="009029ED">
      <w:pPr>
        <w:sectPr w:rsidR="009029ED" w:rsidRPr="00F94D44" w:rsidSect="00E56785">
          <w:headerReference w:type="default" r:id="rId12"/>
          <w:footerReference w:type="even" r:id="rId13"/>
          <w:footerReference w:type="default" r:id="rId14"/>
          <w:headerReference w:type="first" r:id="rId15"/>
          <w:footnotePr>
            <w:pos w:val="beneathText"/>
          </w:footnotePr>
          <w:pgSz w:w="12240" w:h="15840" w:code="1"/>
          <w:pgMar w:top="5760" w:right="1800" w:bottom="1440" w:left="1440" w:header="720" w:footer="720" w:gutter="0"/>
          <w:pgNumType w:fmt="lowerRoman"/>
          <w:cols w:space="720"/>
          <w:titlePg/>
        </w:sectPr>
      </w:pPr>
    </w:p>
    <w:p w14:paraId="60FBBD35" w14:textId="77777777" w:rsidR="009029ED" w:rsidRPr="00E30EFC" w:rsidRDefault="009029ED">
      <w:pPr>
        <w:pStyle w:val="TM1"/>
        <w:tabs>
          <w:tab w:val="left" w:pos="720"/>
          <w:tab w:val="right" w:leader="dot" w:pos="9080"/>
        </w:tabs>
        <w:jc w:val="center"/>
        <w:rPr>
          <w:rFonts w:cs="Calibri"/>
          <w:b/>
          <w:bCs/>
          <w:iCs/>
        </w:rPr>
      </w:pPr>
      <w:r>
        <w:rPr>
          <w:b/>
          <w:bCs/>
          <w:iCs/>
        </w:rPr>
        <w:lastRenderedPageBreak/>
        <w:t>TABLE DES MATIÈRES</w:t>
      </w:r>
    </w:p>
    <w:p w14:paraId="4435F9E6" w14:textId="77777777" w:rsidR="00CF3F31" w:rsidRPr="00E15CF9" w:rsidRDefault="00CF3F31">
      <w:pPr>
        <w:pStyle w:val="TM1"/>
        <w:tabs>
          <w:tab w:val="left" w:pos="544"/>
          <w:tab w:val="right" w:leader="dot" w:pos="9080"/>
        </w:tabs>
        <w:rPr>
          <w:rFonts w:eastAsia="MS Mincho"/>
          <w:noProof/>
          <w:szCs w:val="24"/>
          <w:lang w:val="es-ES_tradnl" w:eastAsia="ja-JP"/>
        </w:rPr>
      </w:pPr>
      <w:r>
        <w:rPr>
          <w:rFonts w:cs="Calibri"/>
          <w:b/>
          <w:bCs/>
          <w:i/>
        </w:rPr>
        <w:fldChar w:fldCharType="begin"/>
      </w:r>
      <w:r>
        <w:rPr>
          <w:rFonts w:cs="Calibri"/>
          <w:b/>
          <w:bCs/>
          <w:i/>
        </w:rPr>
        <w:instrText xml:space="preserve"> TOC \o "1-3" </w:instrText>
      </w:r>
      <w:r>
        <w:rPr>
          <w:rFonts w:cs="Calibri"/>
          <w:b/>
          <w:bCs/>
          <w:i/>
        </w:rPr>
        <w:fldChar w:fldCharType="separate"/>
      </w:r>
      <w:r>
        <w:rPr>
          <w:noProof/>
        </w:rPr>
        <w:t>1.0</w:t>
      </w:r>
      <w:r w:rsidRPr="00E15CF9">
        <w:rPr>
          <w:rFonts w:eastAsia="MS Mincho"/>
          <w:noProof/>
          <w:szCs w:val="24"/>
          <w:lang w:val="es-ES_tradnl" w:eastAsia="ja-JP"/>
        </w:rPr>
        <w:tab/>
      </w:r>
      <w:r>
        <w:rPr>
          <w:noProof/>
        </w:rPr>
        <w:t>INTRODUCTION</w:t>
      </w:r>
      <w:r>
        <w:rPr>
          <w:noProof/>
        </w:rPr>
        <w:tab/>
      </w:r>
      <w:r>
        <w:rPr>
          <w:noProof/>
        </w:rPr>
        <w:fldChar w:fldCharType="begin"/>
      </w:r>
      <w:r>
        <w:rPr>
          <w:noProof/>
        </w:rPr>
        <w:instrText xml:space="preserve"> PAGEREF _Toc416704780 \h </w:instrText>
      </w:r>
      <w:r>
        <w:rPr>
          <w:noProof/>
        </w:rPr>
      </w:r>
      <w:r>
        <w:rPr>
          <w:noProof/>
        </w:rPr>
        <w:fldChar w:fldCharType="separate"/>
      </w:r>
      <w:r>
        <w:rPr>
          <w:noProof/>
        </w:rPr>
        <w:t>1</w:t>
      </w:r>
      <w:r>
        <w:rPr>
          <w:noProof/>
        </w:rPr>
        <w:fldChar w:fldCharType="end"/>
      </w:r>
    </w:p>
    <w:p w14:paraId="65C0CE7C" w14:textId="77777777" w:rsidR="00CF3F31" w:rsidRPr="00E15CF9" w:rsidRDefault="00CF3F31">
      <w:pPr>
        <w:pStyle w:val="TM1"/>
        <w:tabs>
          <w:tab w:val="left" w:pos="544"/>
          <w:tab w:val="right" w:leader="dot" w:pos="9080"/>
        </w:tabs>
        <w:rPr>
          <w:rFonts w:eastAsia="MS Mincho"/>
          <w:noProof/>
          <w:szCs w:val="24"/>
          <w:lang w:val="es-ES_tradnl" w:eastAsia="ja-JP"/>
        </w:rPr>
      </w:pPr>
      <w:r>
        <w:rPr>
          <w:noProof/>
        </w:rPr>
        <w:t>2.0</w:t>
      </w:r>
      <w:r w:rsidRPr="00E15CF9">
        <w:rPr>
          <w:rFonts w:eastAsia="MS Mincho"/>
          <w:noProof/>
          <w:szCs w:val="24"/>
          <w:lang w:val="es-ES_tradnl" w:eastAsia="ja-JP"/>
        </w:rPr>
        <w:tab/>
      </w:r>
      <w:r>
        <w:rPr>
          <w:noProof/>
        </w:rPr>
        <w:t>CONTEXTE</w:t>
      </w:r>
      <w:r>
        <w:rPr>
          <w:noProof/>
        </w:rPr>
        <w:tab/>
      </w:r>
      <w:r>
        <w:rPr>
          <w:noProof/>
        </w:rPr>
        <w:fldChar w:fldCharType="begin"/>
      </w:r>
      <w:r>
        <w:rPr>
          <w:noProof/>
        </w:rPr>
        <w:instrText xml:space="preserve"> PAGEREF _Toc416704781 \h </w:instrText>
      </w:r>
      <w:r>
        <w:rPr>
          <w:noProof/>
        </w:rPr>
      </w:r>
      <w:r>
        <w:rPr>
          <w:noProof/>
        </w:rPr>
        <w:fldChar w:fldCharType="separate"/>
      </w:r>
      <w:r>
        <w:rPr>
          <w:noProof/>
        </w:rPr>
        <w:t>1</w:t>
      </w:r>
      <w:r>
        <w:rPr>
          <w:noProof/>
        </w:rPr>
        <w:fldChar w:fldCharType="end"/>
      </w:r>
    </w:p>
    <w:p w14:paraId="30BE5466" w14:textId="77777777" w:rsidR="00CF3F31" w:rsidRPr="00E15CF9" w:rsidRDefault="00CF3F31">
      <w:pPr>
        <w:pStyle w:val="TM1"/>
        <w:tabs>
          <w:tab w:val="left" w:pos="544"/>
          <w:tab w:val="right" w:leader="dot" w:pos="9080"/>
        </w:tabs>
        <w:rPr>
          <w:rFonts w:eastAsia="MS Mincho"/>
          <w:noProof/>
          <w:szCs w:val="24"/>
          <w:lang w:val="es-ES_tradnl" w:eastAsia="ja-JP"/>
        </w:rPr>
      </w:pPr>
      <w:r w:rsidRPr="00CF3F31">
        <w:rPr>
          <w:noProof/>
        </w:rPr>
        <w:t>3.0</w:t>
      </w:r>
      <w:r w:rsidRPr="00E15CF9">
        <w:rPr>
          <w:rFonts w:eastAsia="MS Mincho"/>
          <w:noProof/>
          <w:szCs w:val="24"/>
          <w:lang w:val="es-ES_tradnl" w:eastAsia="ja-JP"/>
        </w:rPr>
        <w:tab/>
      </w:r>
      <w:r w:rsidRPr="00CF3F31">
        <w:rPr>
          <w:noProof/>
        </w:rPr>
        <w:t>POLITIQUE</w:t>
      </w:r>
      <w:r w:rsidRPr="00CF3F31">
        <w:rPr>
          <w:noProof/>
        </w:rPr>
        <w:tab/>
      </w:r>
      <w:r w:rsidRPr="00CF3F31">
        <w:rPr>
          <w:noProof/>
        </w:rPr>
        <w:fldChar w:fldCharType="begin"/>
      </w:r>
      <w:r w:rsidRPr="00CF3F31">
        <w:rPr>
          <w:noProof/>
        </w:rPr>
        <w:instrText xml:space="preserve"> PAGEREF _Toc416704782 \h </w:instrText>
      </w:r>
      <w:r w:rsidRPr="00CF3F31">
        <w:rPr>
          <w:noProof/>
        </w:rPr>
      </w:r>
      <w:r w:rsidRPr="00CF3F31">
        <w:rPr>
          <w:noProof/>
        </w:rPr>
        <w:fldChar w:fldCharType="separate"/>
      </w:r>
      <w:r w:rsidRPr="00CF3F31">
        <w:rPr>
          <w:noProof/>
        </w:rPr>
        <w:t>3</w:t>
      </w:r>
      <w:r w:rsidRPr="00CF3F31">
        <w:rPr>
          <w:noProof/>
        </w:rPr>
        <w:fldChar w:fldCharType="end"/>
      </w:r>
    </w:p>
    <w:p w14:paraId="10B88F5F"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3.1</w:t>
      </w:r>
      <w:r w:rsidRPr="00E15CF9">
        <w:rPr>
          <w:rFonts w:ascii="Calibri" w:eastAsia="MS Mincho" w:hAnsi="Calibri"/>
          <w:bCs w:val="0"/>
          <w:noProof/>
          <w:szCs w:val="24"/>
          <w:lang w:val="es-ES_tradnl" w:eastAsia="ja-JP"/>
        </w:rPr>
        <w:tab/>
      </w:r>
      <w:r w:rsidRPr="00CF3F31">
        <w:rPr>
          <w:rFonts w:ascii="Calibri" w:hAnsi="Calibri"/>
          <w:noProof/>
        </w:rPr>
        <w:t>Orientation des administrateurs</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_Toc416704783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3</w:t>
      </w:r>
      <w:r w:rsidRPr="00CF3F31">
        <w:rPr>
          <w:rFonts w:ascii="Calibri" w:hAnsi="Calibri"/>
          <w:noProof/>
        </w:rPr>
        <w:fldChar w:fldCharType="end"/>
      </w:r>
    </w:p>
    <w:p w14:paraId="1360D97A"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3.2</w:t>
      </w:r>
      <w:r w:rsidRPr="00E15CF9">
        <w:rPr>
          <w:rFonts w:ascii="Calibri" w:eastAsia="MS Mincho" w:hAnsi="Calibri"/>
          <w:bCs w:val="0"/>
          <w:noProof/>
          <w:szCs w:val="24"/>
          <w:lang w:val="es-ES_tradnl" w:eastAsia="ja-JP"/>
        </w:rPr>
        <w:tab/>
      </w:r>
      <w:r w:rsidRPr="00CF3F31">
        <w:rPr>
          <w:rFonts w:ascii="Calibri" w:hAnsi="Calibri"/>
          <w:noProof/>
        </w:rPr>
        <w:t>Exposés de la direction</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_Toc416704784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4</w:t>
      </w:r>
      <w:r w:rsidRPr="00CF3F31">
        <w:rPr>
          <w:rFonts w:ascii="Calibri" w:hAnsi="Calibri"/>
          <w:noProof/>
        </w:rPr>
        <w:fldChar w:fldCharType="end"/>
      </w:r>
    </w:p>
    <w:p w14:paraId="0583C603"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3.3</w:t>
      </w:r>
      <w:r w:rsidRPr="00E15CF9">
        <w:rPr>
          <w:rFonts w:ascii="Calibri" w:eastAsia="MS Mincho" w:hAnsi="Calibri"/>
          <w:bCs w:val="0"/>
          <w:noProof/>
          <w:szCs w:val="24"/>
          <w:lang w:val="es-ES_tradnl" w:eastAsia="ja-JP"/>
        </w:rPr>
        <w:tab/>
      </w:r>
      <w:r w:rsidRPr="00CF3F31">
        <w:rPr>
          <w:rFonts w:ascii="Calibri" w:hAnsi="Calibri"/>
          <w:noProof/>
        </w:rPr>
        <w:t>Séminaires à l’intention des administrateurs</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_Toc416704785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4</w:t>
      </w:r>
      <w:r w:rsidRPr="00CF3F31">
        <w:rPr>
          <w:rFonts w:ascii="Calibri" w:hAnsi="Calibri"/>
          <w:noProof/>
        </w:rPr>
        <w:fldChar w:fldCharType="end"/>
      </w:r>
    </w:p>
    <w:p w14:paraId="2B500668"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3.4</w:t>
      </w:r>
      <w:r w:rsidRPr="00E15CF9">
        <w:rPr>
          <w:rFonts w:ascii="Calibri" w:eastAsia="MS Mincho" w:hAnsi="Calibri"/>
          <w:bCs w:val="0"/>
          <w:noProof/>
          <w:szCs w:val="24"/>
          <w:lang w:val="es-ES_tradnl" w:eastAsia="ja-JP"/>
        </w:rPr>
        <w:tab/>
      </w:r>
      <w:r w:rsidRPr="00CF3F31">
        <w:rPr>
          <w:rFonts w:ascii="Calibri" w:hAnsi="Calibri"/>
          <w:noProof/>
        </w:rPr>
        <w:t>Articles, adhésions et autres sources d’information</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_Toc416704786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4</w:t>
      </w:r>
      <w:r w:rsidRPr="00CF3F31">
        <w:rPr>
          <w:rFonts w:ascii="Calibri" w:hAnsi="Calibri"/>
          <w:noProof/>
        </w:rPr>
        <w:fldChar w:fldCharType="end"/>
      </w:r>
    </w:p>
    <w:p w14:paraId="381288CB"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3.5</w:t>
      </w:r>
      <w:r w:rsidRPr="00E15CF9">
        <w:rPr>
          <w:rFonts w:ascii="Calibri" w:eastAsia="MS Mincho" w:hAnsi="Calibri"/>
          <w:bCs w:val="0"/>
          <w:noProof/>
          <w:szCs w:val="24"/>
          <w:lang w:val="es-ES_tradnl" w:eastAsia="ja-JP"/>
        </w:rPr>
        <w:tab/>
      </w:r>
      <w:r w:rsidRPr="00CF3F31">
        <w:rPr>
          <w:rFonts w:ascii="Calibri" w:hAnsi="Calibri"/>
          <w:noProof/>
        </w:rPr>
        <w:t>Conférences, séminaires et forums</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_Toc416704787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5</w:t>
      </w:r>
      <w:r w:rsidRPr="00CF3F31">
        <w:rPr>
          <w:rFonts w:ascii="Calibri" w:hAnsi="Calibri"/>
          <w:noProof/>
        </w:rPr>
        <w:fldChar w:fldCharType="end"/>
      </w:r>
    </w:p>
    <w:p w14:paraId="3A169263"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3.6</w:t>
      </w:r>
      <w:r w:rsidRPr="00E15CF9">
        <w:rPr>
          <w:rFonts w:ascii="Calibri" w:eastAsia="MS Mincho" w:hAnsi="Calibri"/>
          <w:bCs w:val="0"/>
          <w:noProof/>
          <w:szCs w:val="24"/>
          <w:lang w:val="es-ES_tradnl" w:eastAsia="ja-JP"/>
        </w:rPr>
        <w:tab/>
      </w:r>
      <w:r w:rsidRPr="00CF3F31">
        <w:rPr>
          <w:rFonts w:ascii="Calibri" w:hAnsi="Calibri"/>
          <w:noProof/>
        </w:rPr>
        <w:t>Rétroaction des administrateurs</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_Toc416704788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6</w:t>
      </w:r>
      <w:r w:rsidRPr="00CF3F31">
        <w:rPr>
          <w:rFonts w:ascii="Calibri" w:hAnsi="Calibri"/>
          <w:noProof/>
        </w:rPr>
        <w:fldChar w:fldCharType="end"/>
      </w:r>
    </w:p>
    <w:p w14:paraId="0EFAB41D" w14:textId="77777777" w:rsidR="00CF3F31" w:rsidRPr="00E15CF9" w:rsidRDefault="00CF3F31">
      <w:pPr>
        <w:pStyle w:val="TM2"/>
        <w:tabs>
          <w:tab w:val="left" w:pos="1264"/>
          <w:tab w:val="right" w:leader="dot" w:pos="9080"/>
        </w:tabs>
        <w:rPr>
          <w:rFonts w:ascii="Calibri" w:eastAsia="MS Mincho" w:hAnsi="Calibri"/>
          <w:bCs w:val="0"/>
          <w:noProof/>
          <w:szCs w:val="24"/>
          <w:lang w:val="es-ES_tradnl" w:eastAsia="ja-JP"/>
        </w:rPr>
      </w:pPr>
      <w:r w:rsidRPr="00CF3F31">
        <w:rPr>
          <w:rFonts w:ascii="Calibri" w:hAnsi="Calibri" w:cs="Calibri"/>
          <w:noProof/>
        </w:rPr>
        <w:t>3.7</w:t>
      </w:r>
      <w:r w:rsidRPr="00E15CF9">
        <w:rPr>
          <w:rFonts w:ascii="Calibri" w:eastAsia="MS Mincho" w:hAnsi="Calibri"/>
          <w:bCs w:val="0"/>
          <w:noProof/>
          <w:szCs w:val="24"/>
          <w:lang w:val="es-ES_tradnl" w:eastAsia="ja-JP"/>
        </w:rPr>
        <w:tab/>
      </w:r>
      <w:r w:rsidRPr="00CF3F31">
        <w:rPr>
          <w:rFonts w:ascii="Calibri" w:hAnsi="Calibri"/>
          <w:noProof/>
        </w:rPr>
        <w:t>Examen</w:t>
      </w:r>
      <w:r w:rsidRPr="00CF3F31">
        <w:rPr>
          <w:rFonts w:ascii="Calibri" w:hAnsi="Calibri"/>
          <w:noProof/>
        </w:rPr>
        <w:tab/>
      </w:r>
      <w:r w:rsidRPr="00CF3F31">
        <w:rPr>
          <w:rFonts w:ascii="Calibri" w:hAnsi="Calibri"/>
          <w:noProof/>
        </w:rPr>
        <w:fldChar w:fldCharType="begin"/>
      </w:r>
      <w:r w:rsidRPr="00CF3F31">
        <w:rPr>
          <w:rFonts w:ascii="Calibri" w:hAnsi="Calibri"/>
          <w:noProof/>
        </w:rPr>
        <w:instrText xml:space="preserve"> PAGEREF _Toc416704789 \h </w:instrText>
      </w:r>
      <w:r w:rsidRPr="00CF3F31">
        <w:rPr>
          <w:rFonts w:ascii="Calibri" w:hAnsi="Calibri"/>
          <w:noProof/>
        </w:rPr>
      </w:r>
      <w:r w:rsidRPr="00CF3F31">
        <w:rPr>
          <w:rFonts w:ascii="Calibri" w:hAnsi="Calibri"/>
          <w:noProof/>
        </w:rPr>
        <w:fldChar w:fldCharType="separate"/>
      </w:r>
      <w:r w:rsidRPr="00CF3F31">
        <w:rPr>
          <w:rFonts w:ascii="Calibri" w:hAnsi="Calibri"/>
          <w:noProof/>
        </w:rPr>
        <w:t>6</w:t>
      </w:r>
      <w:r w:rsidRPr="00CF3F31">
        <w:rPr>
          <w:rFonts w:ascii="Calibri" w:hAnsi="Calibri"/>
          <w:noProof/>
        </w:rPr>
        <w:fldChar w:fldCharType="end"/>
      </w:r>
    </w:p>
    <w:p w14:paraId="4C096F3A" w14:textId="03A77EB7" w:rsidR="009029ED" w:rsidRDefault="00CF3F31">
      <w:pPr>
        <w:pStyle w:val="TM3"/>
      </w:pPr>
      <w:r>
        <w:rPr>
          <w:rFonts w:ascii="Calibri" w:hAnsi="Calibri" w:cs="Calibri"/>
          <w:b/>
          <w:bCs/>
          <w:i w:val="0"/>
        </w:rPr>
        <w:fldChar w:fldCharType="end"/>
      </w:r>
    </w:p>
    <w:p w14:paraId="20FCED59" w14:textId="77777777" w:rsidR="009029ED" w:rsidRDefault="009029ED">
      <w:pPr>
        <w:pStyle w:val="TM2"/>
      </w:pPr>
    </w:p>
    <w:p w14:paraId="222A2AAD" w14:textId="77777777" w:rsidR="009029ED" w:rsidRDefault="009029ED">
      <w:pPr>
        <w:pStyle w:val="TM3"/>
      </w:pPr>
    </w:p>
    <w:p w14:paraId="46B4034B" w14:textId="77777777" w:rsidR="009029ED" w:rsidRDefault="009029ED"/>
    <w:p w14:paraId="02EF22ED" w14:textId="77777777" w:rsidR="009029ED" w:rsidRDefault="009029ED"/>
    <w:p w14:paraId="2B1B86EF" w14:textId="77777777" w:rsidR="009029ED" w:rsidRDefault="009029ED">
      <w:pPr>
        <w:sectPr w:rsidR="009029ED">
          <w:footnotePr>
            <w:pos w:val="beneathText"/>
          </w:footnotePr>
          <w:pgSz w:w="12240" w:h="15840"/>
          <w:pgMar w:top="1440" w:right="1350" w:bottom="1440" w:left="1800" w:header="720" w:footer="720" w:gutter="0"/>
          <w:pgNumType w:fmt="lowerRoman" w:start="1"/>
          <w:cols w:space="720"/>
        </w:sectPr>
      </w:pPr>
    </w:p>
    <w:p w14:paraId="5A145871" w14:textId="77777777" w:rsidR="009029ED" w:rsidRPr="00A94CC1" w:rsidRDefault="009029ED" w:rsidP="00D76113">
      <w:pPr>
        <w:pStyle w:val="Titre1"/>
        <w:rPr>
          <w:sz w:val="24"/>
          <w:szCs w:val="24"/>
        </w:rPr>
      </w:pPr>
      <w:bookmarkStart w:id="1" w:name="_Toc416704780"/>
      <w:r>
        <w:rPr>
          <w:sz w:val="24"/>
          <w:szCs w:val="24"/>
        </w:rPr>
        <w:lastRenderedPageBreak/>
        <w:t>INTRODUCTION</w:t>
      </w:r>
      <w:bookmarkEnd w:id="1"/>
    </w:p>
    <w:p w14:paraId="5991BAD2" w14:textId="77777777" w:rsidR="009029ED" w:rsidRPr="00A94CC1" w:rsidRDefault="009029ED" w:rsidP="009029ED">
      <w:pPr>
        <w:numPr>
          <w:ilvl w:val="0"/>
          <w:numId w:val="5"/>
        </w:numPr>
        <w:spacing w:before="120" w:after="120"/>
        <w:rPr>
          <w:rFonts w:ascii="Calibri" w:hAnsi="Calibri" w:cs="Calibri"/>
          <w:szCs w:val="24"/>
        </w:rPr>
      </w:pPr>
      <w:r>
        <w:rPr>
          <w:rFonts w:ascii="Calibri" w:hAnsi="Calibri"/>
          <w:szCs w:val="24"/>
        </w:rPr>
        <w:t>Le président du conseil et le comité de la gouvernance collaborent étroitement avec le président et la direction pour veiller à la mise en œuvre de programmes d’orientation et de formation judicieux à l’intention des administrateurs et pour aider les administrateurs à améliorer leur capacité à contribuer à l’Office.</w:t>
      </w:r>
    </w:p>
    <w:p w14:paraId="46B8E6FA" w14:textId="77777777" w:rsidR="009029ED" w:rsidRPr="0096543B" w:rsidRDefault="009029ED" w:rsidP="009029ED">
      <w:pPr>
        <w:numPr>
          <w:ilvl w:val="0"/>
          <w:numId w:val="5"/>
        </w:numPr>
        <w:spacing w:before="120" w:after="120"/>
        <w:rPr>
          <w:rFonts w:ascii="Calibri" w:hAnsi="Calibri" w:cs="Calibri"/>
          <w:spacing w:val="-2"/>
          <w:szCs w:val="24"/>
        </w:rPr>
      </w:pPr>
      <w:r w:rsidRPr="0096543B">
        <w:rPr>
          <w:rFonts w:ascii="Calibri" w:hAnsi="Calibri"/>
          <w:spacing w:val="-2"/>
          <w:szCs w:val="24"/>
        </w:rPr>
        <w:t>Le programme d’orientation des nouveaux administrateurs, bien qu’il constitue une introduction exhaustive à l’Office d’investissement du RPC, est adapté aux besoins individuels des administrateurs. Bien que la plus grande partie de la formation continue à l’intention des administrateurs soit donnée à l’interne à l’ensemble du conseil, les administrateurs doivent également faire preuve d’initiative en vue d’acquérir des connaissances générales utiles dans l’exercice de leurs fonctions et rechercher de la formation et de l’information supplémentaires au besoin.</w:t>
      </w:r>
    </w:p>
    <w:p w14:paraId="3E81D2BF" w14:textId="77777777" w:rsidR="009029ED" w:rsidRPr="00A94CC1" w:rsidRDefault="009029ED" w:rsidP="00D76113">
      <w:pPr>
        <w:pStyle w:val="Titre1"/>
        <w:rPr>
          <w:sz w:val="24"/>
          <w:szCs w:val="24"/>
        </w:rPr>
      </w:pPr>
      <w:bookmarkStart w:id="2" w:name="_Toc159835574"/>
      <w:bookmarkStart w:id="3" w:name="_Toc416704781"/>
      <w:r>
        <w:rPr>
          <w:sz w:val="24"/>
          <w:szCs w:val="24"/>
        </w:rPr>
        <w:t>CONTEXTE</w:t>
      </w:r>
      <w:bookmarkEnd w:id="2"/>
      <w:bookmarkEnd w:id="3"/>
    </w:p>
    <w:p w14:paraId="157EBFA2" w14:textId="76C295B3" w:rsidR="009029ED" w:rsidRPr="00A94CC1" w:rsidRDefault="009029ED" w:rsidP="009029ED">
      <w:pPr>
        <w:numPr>
          <w:ilvl w:val="0"/>
          <w:numId w:val="12"/>
        </w:numPr>
        <w:spacing w:before="120" w:after="120"/>
        <w:rPr>
          <w:rFonts w:ascii="Calibri" w:hAnsi="Calibri" w:cs="Calibri"/>
          <w:szCs w:val="24"/>
        </w:rPr>
      </w:pPr>
      <w:r>
        <w:rPr>
          <w:rFonts w:ascii="Calibri" w:hAnsi="Calibri"/>
          <w:szCs w:val="24"/>
        </w:rPr>
        <w:t xml:space="preserve">La Loi prévoit que, lorsqu’il nomme des personnes au conseil d’administration, le ministre des Finances doit tenter d’assurer </w:t>
      </w:r>
      <w:r w:rsidR="0096543B">
        <w:rPr>
          <w:rFonts w:ascii="Calibri" w:hAnsi="Calibri"/>
          <w:szCs w:val="24"/>
        </w:rPr>
        <w:br/>
      </w:r>
      <w:r>
        <w:rPr>
          <w:rFonts w:ascii="Calibri" w:hAnsi="Calibri"/>
          <w:szCs w:val="24"/>
        </w:rPr>
        <w:t>« la présence au conseil d’un nombre suffisant de personnes ayant une compétence financière reconnue ou une expérience de travail propre à aider l’Office à accomplir sa mission avec efficacité »</w:t>
      </w:r>
      <w:r w:rsidRPr="00A94CC1">
        <w:rPr>
          <w:rStyle w:val="Appelnotedebasdep"/>
          <w:rFonts w:ascii="Calibri" w:hAnsi="Calibri" w:cs="Calibri"/>
          <w:szCs w:val="24"/>
        </w:rPr>
        <w:footnoteReference w:id="1"/>
      </w:r>
      <w:r>
        <w:rPr>
          <w:rFonts w:ascii="Calibri" w:hAnsi="Calibri"/>
          <w:szCs w:val="24"/>
        </w:rPr>
        <w:t>. L’article 14(2) de la Loi va au-delà de la norme de la diligence dont ferait preuve une personne prudente en exigeant que les administrateurs mettent en œuvre, dans l’exercice de leurs fonctions, les connaissances ou aptitudes particulières qu’ils ont ou « devraient avoir ».</w:t>
      </w:r>
    </w:p>
    <w:p w14:paraId="3A8A5FF3" w14:textId="77777777" w:rsidR="009029ED" w:rsidRPr="00A94CC1" w:rsidRDefault="009029ED" w:rsidP="009029ED">
      <w:pPr>
        <w:numPr>
          <w:ilvl w:val="0"/>
          <w:numId w:val="12"/>
        </w:numPr>
        <w:spacing w:before="120" w:after="120"/>
        <w:rPr>
          <w:rFonts w:ascii="Calibri" w:hAnsi="Calibri" w:cs="Calibri"/>
          <w:szCs w:val="24"/>
        </w:rPr>
      </w:pPr>
      <w:r>
        <w:rPr>
          <w:rFonts w:ascii="Calibri" w:hAnsi="Calibri"/>
          <w:szCs w:val="24"/>
        </w:rPr>
        <w:t xml:space="preserve">Le </w:t>
      </w:r>
      <w:r>
        <w:rPr>
          <w:rFonts w:ascii="Calibri" w:hAnsi="Calibri"/>
          <w:b/>
          <w:bCs/>
          <w:szCs w:val="24"/>
        </w:rPr>
        <w:t>Mandat des administrateurs</w:t>
      </w:r>
      <w:r>
        <w:rPr>
          <w:rFonts w:ascii="Calibri" w:hAnsi="Calibri"/>
          <w:szCs w:val="24"/>
        </w:rPr>
        <w:t xml:space="preserve"> comprend l’article 3.6, intitulé « Connaissance de l’Office et de son secteur d’activité ». En voici le texte :</w:t>
      </w:r>
    </w:p>
    <w:p w14:paraId="698FCCA9" w14:textId="21F5D908" w:rsidR="009029ED" w:rsidRPr="00A94CC1" w:rsidRDefault="009029ED" w:rsidP="009029ED">
      <w:pPr>
        <w:pStyle w:val="Retraitcorpsdetexte3"/>
        <w:keepNext/>
        <w:spacing w:before="120" w:after="120" w:line="240" w:lineRule="auto"/>
        <w:ind w:left="2160"/>
        <w:jc w:val="left"/>
        <w:rPr>
          <w:rFonts w:ascii="Calibri" w:hAnsi="Calibri" w:cs="Calibri"/>
          <w:i/>
          <w:szCs w:val="24"/>
        </w:rPr>
      </w:pPr>
      <w:r>
        <w:rPr>
          <w:rFonts w:ascii="Calibri" w:hAnsi="Calibri"/>
          <w:szCs w:val="24"/>
        </w:rPr>
        <w:t>«</w:t>
      </w:r>
      <w:r>
        <w:rPr>
          <w:rFonts w:ascii="Calibri" w:hAnsi="Calibri"/>
          <w:i/>
          <w:szCs w:val="24"/>
        </w:rPr>
        <w:t xml:space="preserve"> Étant donné que les administrateurs ne peuvent prendre </w:t>
      </w:r>
      <w:r w:rsidR="0096543B">
        <w:rPr>
          <w:rFonts w:ascii="Calibri" w:hAnsi="Calibri"/>
          <w:i/>
          <w:szCs w:val="24"/>
        </w:rPr>
        <w:br/>
      </w:r>
      <w:r>
        <w:rPr>
          <w:rFonts w:ascii="Calibri" w:hAnsi="Calibri"/>
          <w:i/>
          <w:szCs w:val="24"/>
        </w:rPr>
        <w:t>des décisions éclairées sans être bien informés, ils doivent :</w:t>
      </w:r>
    </w:p>
    <w:p w14:paraId="4CAB5200" w14:textId="77777777" w:rsidR="002E72E6" w:rsidRPr="00A94CC1" w:rsidRDefault="009029ED" w:rsidP="009029ED">
      <w:pPr>
        <w:tabs>
          <w:tab w:val="left" w:pos="1620"/>
        </w:tabs>
        <w:spacing w:before="120" w:after="120"/>
        <w:ind w:left="2880" w:hanging="720"/>
        <w:rPr>
          <w:rFonts w:ascii="Calibri" w:hAnsi="Calibri" w:cs="Calibri"/>
          <w:i/>
          <w:szCs w:val="24"/>
        </w:rPr>
      </w:pPr>
      <w:r>
        <w:rPr>
          <w:rFonts w:ascii="Calibri" w:hAnsi="Calibri"/>
          <w:i/>
          <w:szCs w:val="24"/>
        </w:rPr>
        <w:t>a)</w:t>
      </w:r>
      <w:r>
        <w:rPr>
          <w:rFonts w:ascii="Calibri" w:hAnsi="Calibri"/>
          <w:i/>
          <w:szCs w:val="24"/>
        </w:rPr>
        <w:tab/>
        <w:t>acquérir des connaissances générales sur les affaires et le secteur d’activité de l’Office d’investissement du RPC, notamment sur les tendances dans les marchés émergents et sur les questions et les risques importants relatifs à la stratégie et à l’atteinte à la réputation;</w:t>
      </w:r>
    </w:p>
    <w:p w14:paraId="6375A556" w14:textId="3802E6E6" w:rsidR="00BB33DD" w:rsidRPr="00A94CC1" w:rsidRDefault="002E72E6" w:rsidP="009029ED">
      <w:pPr>
        <w:tabs>
          <w:tab w:val="left" w:pos="1620"/>
        </w:tabs>
        <w:spacing w:before="120" w:after="120"/>
        <w:ind w:left="2880" w:hanging="720"/>
        <w:rPr>
          <w:rFonts w:ascii="Calibri" w:hAnsi="Calibri" w:cs="Calibri"/>
          <w:i/>
          <w:szCs w:val="24"/>
        </w:rPr>
      </w:pPr>
      <w:r>
        <w:rPr>
          <w:rFonts w:ascii="Calibri" w:hAnsi="Calibri"/>
          <w:i/>
          <w:szCs w:val="24"/>
        </w:rPr>
        <w:t>b)</w:t>
      </w:r>
      <w:r>
        <w:rPr>
          <w:rFonts w:ascii="Calibri" w:hAnsi="Calibri"/>
          <w:i/>
          <w:szCs w:val="24"/>
        </w:rPr>
        <w:tab/>
        <w:t xml:space="preserve">faire preuve de connaissances approfondies en matière </w:t>
      </w:r>
      <w:r w:rsidR="0096543B">
        <w:rPr>
          <w:rFonts w:ascii="Calibri" w:hAnsi="Calibri"/>
          <w:i/>
          <w:szCs w:val="24"/>
        </w:rPr>
        <w:br/>
      </w:r>
      <w:r>
        <w:rPr>
          <w:rFonts w:ascii="Calibri" w:hAnsi="Calibri"/>
          <w:i/>
          <w:szCs w:val="24"/>
        </w:rPr>
        <w:t xml:space="preserve">de finances; </w:t>
      </w:r>
    </w:p>
    <w:p w14:paraId="3354BE31" w14:textId="37812D38" w:rsidR="009029ED" w:rsidRPr="00A94CC1" w:rsidRDefault="009029ED" w:rsidP="009029ED">
      <w:pPr>
        <w:tabs>
          <w:tab w:val="left" w:pos="1620"/>
        </w:tabs>
        <w:spacing w:before="120" w:after="120"/>
        <w:ind w:left="2880" w:hanging="720"/>
        <w:rPr>
          <w:rFonts w:ascii="Calibri" w:hAnsi="Calibri" w:cs="Calibri"/>
          <w:i/>
          <w:szCs w:val="24"/>
        </w:rPr>
      </w:pPr>
      <w:r>
        <w:rPr>
          <w:rFonts w:ascii="Calibri" w:hAnsi="Calibri"/>
          <w:i/>
          <w:szCs w:val="24"/>
        </w:rPr>
        <w:t>c)</w:t>
      </w:r>
      <w:r>
        <w:rPr>
          <w:rFonts w:ascii="Calibri" w:hAnsi="Calibri"/>
          <w:i/>
          <w:szCs w:val="24"/>
        </w:rPr>
        <w:tab/>
        <w:t xml:space="preserve">participer à l’occasion aux programmes d’orientation </w:t>
      </w:r>
      <w:r w:rsidR="0096543B">
        <w:rPr>
          <w:rFonts w:ascii="Calibri" w:hAnsi="Calibri"/>
          <w:i/>
          <w:szCs w:val="24"/>
        </w:rPr>
        <w:br/>
      </w:r>
      <w:r>
        <w:rPr>
          <w:rFonts w:ascii="Calibri" w:hAnsi="Calibri"/>
          <w:i/>
          <w:szCs w:val="24"/>
        </w:rPr>
        <w:t xml:space="preserve">et de formation des administrateurs élaborés par </w:t>
      </w:r>
      <w:r w:rsidR="0096543B">
        <w:rPr>
          <w:rFonts w:ascii="Calibri" w:hAnsi="Calibri"/>
          <w:i/>
          <w:szCs w:val="24"/>
        </w:rPr>
        <w:br/>
      </w:r>
      <w:r>
        <w:rPr>
          <w:rFonts w:ascii="Calibri" w:hAnsi="Calibri"/>
          <w:i/>
          <w:szCs w:val="24"/>
        </w:rPr>
        <w:t>l’Office d’investissement du RPC;</w:t>
      </w:r>
    </w:p>
    <w:p w14:paraId="5511317F" w14:textId="77777777" w:rsidR="009029ED" w:rsidRPr="00A94CC1" w:rsidRDefault="009029ED" w:rsidP="009029ED">
      <w:pPr>
        <w:tabs>
          <w:tab w:val="left" w:pos="1620"/>
        </w:tabs>
        <w:spacing w:before="120" w:after="120"/>
        <w:ind w:left="2880" w:hanging="720"/>
        <w:rPr>
          <w:rFonts w:ascii="Calibri" w:hAnsi="Calibri" w:cs="Calibri"/>
          <w:i/>
          <w:szCs w:val="24"/>
        </w:rPr>
      </w:pPr>
      <w:r>
        <w:rPr>
          <w:rFonts w:ascii="Calibri" w:hAnsi="Calibri"/>
          <w:i/>
          <w:szCs w:val="24"/>
        </w:rPr>
        <w:t>d)</w:t>
      </w:r>
      <w:r>
        <w:rPr>
          <w:rFonts w:ascii="Calibri" w:hAnsi="Calibri"/>
          <w:i/>
          <w:szCs w:val="24"/>
        </w:rPr>
        <w:tab/>
        <w:t xml:space="preserve">se tenir au courant des fonctions et du rôle des administrateurs et du contexte réglementaire, législatif, économique et sociopolitique dans lequel l’Office d’investissement du RPC exerce ses activités; </w:t>
      </w:r>
    </w:p>
    <w:p w14:paraId="0FA4AADC" w14:textId="77777777" w:rsidR="009029ED" w:rsidRPr="00A94CC1" w:rsidRDefault="009029ED" w:rsidP="009029ED">
      <w:pPr>
        <w:tabs>
          <w:tab w:val="left" w:pos="1620"/>
        </w:tabs>
        <w:spacing w:before="120" w:after="120"/>
        <w:ind w:left="2880" w:hanging="720"/>
        <w:rPr>
          <w:rFonts w:ascii="Calibri" w:hAnsi="Calibri" w:cs="Calibri"/>
          <w:i/>
          <w:szCs w:val="24"/>
        </w:rPr>
      </w:pPr>
      <w:r>
        <w:rPr>
          <w:rFonts w:ascii="Calibri" w:hAnsi="Calibri"/>
          <w:i/>
          <w:szCs w:val="24"/>
        </w:rPr>
        <w:t>e)</w:t>
      </w:r>
      <w:r>
        <w:rPr>
          <w:rFonts w:ascii="Calibri" w:hAnsi="Calibri"/>
          <w:i/>
          <w:szCs w:val="24"/>
        </w:rPr>
        <w:tab/>
        <w:t xml:space="preserve">se tenir au courant des développements dans le domaine de la gouvernance, et en particulier de leur incidence sur l’Office d’investissement du RPC et ses activités; </w:t>
      </w:r>
    </w:p>
    <w:p w14:paraId="3B3B659B" w14:textId="71B09CA6" w:rsidR="009029ED" w:rsidRPr="00A94CC1" w:rsidRDefault="009029ED" w:rsidP="009029ED">
      <w:pPr>
        <w:tabs>
          <w:tab w:val="left" w:pos="1620"/>
        </w:tabs>
        <w:spacing w:before="120" w:after="120"/>
        <w:ind w:left="2880" w:hanging="720"/>
        <w:rPr>
          <w:rFonts w:ascii="Calibri" w:hAnsi="Calibri" w:cs="Calibri"/>
          <w:szCs w:val="24"/>
        </w:rPr>
      </w:pPr>
      <w:r>
        <w:rPr>
          <w:rFonts w:ascii="Calibri" w:hAnsi="Calibri"/>
          <w:i/>
          <w:szCs w:val="24"/>
        </w:rPr>
        <w:t>f)</w:t>
      </w:r>
      <w:r>
        <w:rPr>
          <w:rFonts w:ascii="Calibri" w:hAnsi="Calibri"/>
          <w:i/>
          <w:szCs w:val="24"/>
        </w:rPr>
        <w:tab/>
        <w:t xml:space="preserve">faire la connaissance de la direction de </w:t>
      </w:r>
      <w:r w:rsidR="0096543B">
        <w:rPr>
          <w:rFonts w:ascii="Calibri" w:hAnsi="Calibri"/>
          <w:i/>
          <w:szCs w:val="24"/>
        </w:rPr>
        <w:br/>
      </w:r>
      <w:r>
        <w:rPr>
          <w:rFonts w:ascii="Calibri" w:hAnsi="Calibri"/>
          <w:i/>
          <w:szCs w:val="24"/>
        </w:rPr>
        <w:t>l’Office d’investissement du RPC. »</w:t>
      </w:r>
    </w:p>
    <w:p w14:paraId="70B5C12C" w14:textId="77777777" w:rsidR="009029ED" w:rsidRPr="00A94CC1" w:rsidRDefault="009029ED" w:rsidP="009029ED">
      <w:pPr>
        <w:numPr>
          <w:ilvl w:val="0"/>
          <w:numId w:val="12"/>
        </w:numPr>
        <w:spacing w:before="120" w:after="120"/>
        <w:rPr>
          <w:rFonts w:ascii="Calibri" w:hAnsi="Calibri" w:cs="Calibri"/>
          <w:szCs w:val="24"/>
        </w:rPr>
      </w:pPr>
      <w:r>
        <w:rPr>
          <w:rFonts w:ascii="Calibri" w:hAnsi="Calibri"/>
          <w:b/>
          <w:szCs w:val="24"/>
        </w:rPr>
        <w:t xml:space="preserve">Le </w:t>
      </w:r>
      <w:r>
        <w:rPr>
          <w:rFonts w:ascii="Calibri" w:hAnsi="Calibri"/>
          <w:b/>
          <w:bCs/>
          <w:szCs w:val="24"/>
        </w:rPr>
        <w:t>Mandat des administrateurs, le Mandat du président du conseil, le Mandat du comité de la gouvernance et le Mandat du président</w:t>
      </w:r>
      <w:r>
        <w:rPr>
          <w:rFonts w:ascii="Calibri" w:hAnsi="Calibri"/>
          <w:bCs/>
          <w:szCs w:val="24"/>
        </w:rPr>
        <w:t xml:space="preserve"> font tous mention des responsabilités à l’égard du processus d’orientation et de formation des administrateurs.</w:t>
      </w:r>
      <w:r>
        <w:rPr>
          <w:rFonts w:ascii="Calibri" w:hAnsi="Calibri"/>
          <w:b/>
          <w:bCs/>
          <w:szCs w:val="24"/>
        </w:rPr>
        <w:t xml:space="preserve"> </w:t>
      </w:r>
    </w:p>
    <w:p w14:paraId="07C0BB56" w14:textId="1F768E4F" w:rsidR="009029ED" w:rsidRPr="00A94CC1" w:rsidDel="00C443ED" w:rsidRDefault="009029ED" w:rsidP="009029ED">
      <w:pPr>
        <w:numPr>
          <w:ilvl w:val="0"/>
          <w:numId w:val="12"/>
        </w:numPr>
        <w:spacing w:before="120" w:after="120"/>
        <w:rPr>
          <w:rFonts w:ascii="Calibri" w:hAnsi="Calibri" w:cs="Calibri"/>
          <w:szCs w:val="24"/>
        </w:rPr>
      </w:pPr>
      <w:r>
        <w:rPr>
          <w:rFonts w:ascii="Calibri" w:hAnsi="Calibri"/>
          <w:szCs w:val="24"/>
        </w:rPr>
        <w:t xml:space="preserve">Il est tenu compte des aspects suivants en ce qui a trait à l’orientation </w:t>
      </w:r>
      <w:r w:rsidR="0096543B">
        <w:rPr>
          <w:rFonts w:ascii="Calibri" w:hAnsi="Calibri"/>
          <w:szCs w:val="24"/>
        </w:rPr>
        <w:br/>
      </w:r>
      <w:r>
        <w:rPr>
          <w:rFonts w:ascii="Calibri" w:hAnsi="Calibri"/>
          <w:szCs w:val="24"/>
        </w:rPr>
        <w:t>et à la formation des administrateurs :</w:t>
      </w:r>
    </w:p>
    <w:p w14:paraId="07DF7995" w14:textId="1B506DE6" w:rsidR="009029ED" w:rsidRPr="00A94CC1" w:rsidRDefault="005612A3"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 xml:space="preserve">Au </w:t>
      </w:r>
      <w:r w:rsidR="009029ED">
        <w:rPr>
          <w:rFonts w:ascii="Calibri" w:hAnsi="Calibri"/>
          <w:szCs w:val="24"/>
        </w:rPr>
        <w:t xml:space="preserve">moment de leur nomination, les administrateurs sont censés posséder une expérience et des compétences suffisantes pour assumer leurs fonctions. Il est cependant admis qu’ils ne peuvent </w:t>
      </w:r>
      <w:r w:rsidR="0096543B">
        <w:rPr>
          <w:rFonts w:ascii="Calibri" w:hAnsi="Calibri"/>
          <w:szCs w:val="24"/>
        </w:rPr>
        <w:br/>
      </w:r>
      <w:r w:rsidR="009029ED">
        <w:rPr>
          <w:rFonts w:ascii="Calibri" w:hAnsi="Calibri"/>
          <w:szCs w:val="24"/>
        </w:rPr>
        <w:t xml:space="preserve">être des spécialistes dans toutes les disciplines ou tous les aspects </w:t>
      </w:r>
      <w:r w:rsidR="0096543B">
        <w:rPr>
          <w:rFonts w:ascii="Calibri" w:hAnsi="Calibri"/>
          <w:szCs w:val="24"/>
        </w:rPr>
        <w:br/>
      </w:r>
      <w:r w:rsidR="009029ED">
        <w:rPr>
          <w:rFonts w:ascii="Calibri" w:hAnsi="Calibri"/>
          <w:szCs w:val="24"/>
        </w:rPr>
        <w:t>de la gouvernance.</w:t>
      </w:r>
    </w:p>
    <w:p w14:paraId="23480A78" w14:textId="22C3A679" w:rsidR="009029ED" w:rsidRPr="00A94CC1" w:rsidRDefault="005612A3"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 xml:space="preserve">Le </w:t>
      </w:r>
      <w:r w:rsidR="009029ED">
        <w:rPr>
          <w:rFonts w:ascii="Calibri" w:hAnsi="Calibri"/>
          <w:szCs w:val="24"/>
        </w:rPr>
        <w:t xml:space="preserve">programme d’orientation vise à familiariser les nouveaux administrateurs avec les exigences de leurs fonctions au conseil </w:t>
      </w:r>
      <w:r w:rsidR="0096543B">
        <w:rPr>
          <w:rFonts w:ascii="Calibri" w:hAnsi="Calibri"/>
          <w:szCs w:val="24"/>
        </w:rPr>
        <w:br/>
      </w:r>
      <w:r w:rsidR="009029ED">
        <w:rPr>
          <w:rFonts w:ascii="Calibri" w:hAnsi="Calibri"/>
          <w:szCs w:val="24"/>
        </w:rPr>
        <w:t>et à leur présenter les activités de l’Office</w:t>
      </w:r>
      <w:r>
        <w:rPr>
          <w:rFonts w:ascii="Calibri" w:hAnsi="Calibri"/>
          <w:szCs w:val="24"/>
        </w:rPr>
        <w:t>.</w:t>
      </w:r>
    </w:p>
    <w:p w14:paraId="1DC6600F" w14:textId="46D647D9" w:rsidR="009029ED" w:rsidRPr="00A94CC1" w:rsidRDefault="005612A3"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 xml:space="preserve">Compte </w:t>
      </w:r>
      <w:r w:rsidR="009029ED">
        <w:rPr>
          <w:rFonts w:ascii="Calibri" w:hAnsi="Calibri"/>
          <w:szCs w:val="24"/>
        </w:rPr>
        <w:t>tenu de l’évolution des responsabilités des administrateurs, une formation continue est nécessaire. Dans plusieurs des cas, tous les administrateurs recevront la même formation.</w:t>
      </w:r>
    </w:p>
    <w:p w14:paraId="5E5FD758" w14:textId="1AC768EE" w:rsidR="009029ED" w:rsidRPr="00A94CC1" w:rsidRDefault="009029ED"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 xml:space="preserve">Étant donné le caractère unique de l’Office d’investissement du RPC, il est nécessaire de dispenser une formation interne plutôt que </w:t>
      </w:r>
      <w:r w:rsidR="0096543B">
        <w:rPr>
          <w:rFonts w:ascii="Calibri" w:hAnsi="Calibri"/>
          <w:szCs w:val="24"/>
        </w:rPr>
        <w:br/>
      </w:r>
      <w:r>
        <w:rPr>
          <w:rFonts w:ascii="Calibri" w:hAnsi="Calibri"/>
          <w:szCs w:val="24"/>
        </w:rPr>
        <w:t>de recourir uniquement à des conférences ou à des séminaires généraux externes.</w:t>
      </w:r>
    </w:p>
    <w:p w14:paraId="1DD53824" w14:textId="5452F9F8" w:rsidR="009029ED" w:rsidRPr="00A94CC1" w:rsidRDefault="009029ED"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Il existe de nombreuses sources d’information, notamment des livres et des sites Internet, ainsi que des documents publiés par des universitaires et des sociétés et associations professionnelles.</w:t>
      </w:r>
    </w:p>
    <w:p w14:paraId="17D78982" w14:textId="2777929C" w:rsidR="004D198A" w:rsidRPr="00A94CC1" w:rsidDel="00C443ED" w:rsidRDefault="004D198A" w:rsidP="009029ED">
      <w:pPr>
        <w:numPr>
          <w:ilvl w:val="2"/>
          <w:numId w:val="12"/>
        </w:numPr>
        <w:tabs>
          <w:tab w:val="clear" w:pos="2160"/>
          <w:tab w:val="num" w:pos="1800"/>
        </w:tabs>
        <w:spacing w:before="120" w:after="120"/>
        <w:ind w:left="1800" w:hanging="270"/>
        <w:rPr>
          <w:rFonts w:ascii="Calibri" w:hAnsi="Calibri" w:cs="Calibri"/>
          <w:szCs w:val="24"/>
        </w:rPr>
      </w:pPr>
      <w:r>
        <w:rPr>
          <w:rFonts w:ascii="Calibri" w:hAnsi="Calibri"/>
          <w:szCs w:val="24"/>
        </w:rPr>
        <w:t>La formation doit notamment avoir pour objectif de s’assurer que les administrateurs connaissent les pratiques exemplaires les plus avancées en ce qui concerne les tâches qui leur incombent.</w:t>
      </w:r>
    </w:p>
    <w:p w14:paraId="42C2FE31" w14:textId="77777777" w:rsidR="009029ED" w:rsidRPr="00A94CC1" w:rsidRDefault="009029ED" w:rsidP="00D76113">
      <w:pPr>
        <w:pStyle w:val="Titre1"/>
        <w:rPr>
          <w:sz w:val="24"/>
          <w:szCs w:val="24"/>
        </w:rPr>
      </w:pPr>
      <w:bookmarkStart w:id="4" w:name="_Toc159835577"/>
      <w:bookmarkStart w:id="5" w:name="_Toc416704782"/>
      <w:r>
        <w:rPr>
          <w:sz w:val="24"/>
          <w:szCs w:val="24"/>
        </w:rPr>
        <w:t>POLITIQUE</w:t>
      </w:r>
      <w:bookmarkEnd w:id="4"/>
      <w:bookmarkEnd w:id="5"/>
    </w:p>
    <w:p w14:paraId="4D9E7FF5" w14:textId="77777777" w:rsidR="009029ED" w:rsidRPr="00A94CC1" w:rsidRDefault="009029ED" w:rsidP="009029ED">
      <w:pPr>
        <w:keepNext/>
        <w:spacing w:before="120" w:after="120"/>
        <w:ind w:left="720"/>
        <w:rPr>
          <w:rFonts w:ascii="Calibri" w:hAnsi="Calibri" w:cs="Calibri"/>
          <w:szCs w:val="24"/>
        </w:rPr>
      </w:pPr>
      <w:r>
        <w:rPr>
          <w:rFonts w:ascii="Calibri" w:hAnsi="Calibri"/>
          <w:szCs w:val="24"/>
        </w:rPr>
        <w:t>L’Office d’investissement du RPC utilise et continuera d’utiliser les méthodes suivantes de formation des administrateurs :</w:t>
      </w:r>
    </w:p>
    <w:p w14:paraId="549FB1E5" w14:textId="77777777" w:rsidR="009029ED" w:rsidRPr="00A94CC1" w:rsidRDefault="009029ED" w:rsidP="009029ED">
      <w:pPr>
        <w:pStyle w:val="Titre2"/>
        <w:keepNext w:val="0"/>
        <w:spacing w:before="120"/>
        <w:rPr>
          <w:rFonts w:ascii="Calibri" w:hAnsi="Calibri" w:cs="Calibri"/>
          <w:szCs w:val="24"/>
        </w:rPr>
      </w:pPr>
      <w:bookmarkStart w:id="6" w:name="_Toc159835578"/>
      <w:bookmarkStart w:id="7" w:name="_Toc416704783"/>
      <w:r>
        <w:rPr>
          <w:rFonts w:ascii="Calibri" w:hAnsi="Calibri"/>
          <w:szCs w:val="24"/>
        </w:rPr>
        <w:t>Orientation des administrateurs</w:t>
      </w:r>
      <w:bookmarkEnd w:id="6"/>
      <w:bookmarkEnd w:id="7"/>
    </w:p>
    <w:p w14:paraId="0D787A82" w14:textId="77777777" w:rsidR="009029ED" w:rsidRPr="00A94CC1" w:rsidRDefault="009029ED" w:rsidP="009029ED">
      <w:pPr>
        <w:pStyle w:val="Retraitcorpsdetexte2"/>
        <w:spacing w:before="120" w:after="120"/>
        <w:rPr>
          <w:rFonts w:ascii="Calibri" w:eastAsia="Times New Roman" w:hAnsi="Calibri" w:cs="Calibri"/>
          <w:szCs w:val="24"/>
        </w:rPr>
      </w:pPr>
      <w:r>
        <w:rPr>
          <w:rFonts w:ascii="Calibri" w:hAnsi="Calibri"/>
          <w:szCs w:val="24"/>
        </w:rPr>
        <w:t>Comme cela est indiqué plus haut, cette séance exhaustive, dont le contenu est continuellement mis à jour, est offerte aux nouveaux administrateurs. Le contenu de cette séance sera mis à jour de façon continue. La séance d’orientation a pour objectif de fournir aux nouveaux administrateurs une information et une formation suffisantes pour qu’ils puissent s’intégrer rapidement et efficacement au conseil et contribuer à ses activités. La séance comprend :</w:t>
      </w:r>
    </w:p>
    <w:p w14:paraId="6200784F" w14:textId="7A72A78D" w:rsidR="009029ED" w:rsidRPr="00A94CC1" w:rsidRDefault="009029ED" w:rsidP="009029ED">
      <w:pPr>
        <w:numPr>
          <w:ilvl w:val="0"/>
          <w:numId w:val="17"/>
        </w:numPr>
        <w:tabs>
          <w:tab w:val="clear" w:pos="1440"/>
        </w:tabs>
        <w:spacing w:before="120" w:after="120"/>
        <w:ind w:left="2160"/>
        <w:rPr>
          <w:rFonts w:ascii="Calibri" w:eastAsia="Times New Roman" w:hAnsi="Calibri" w:cs="Calibri"/>
          <w:szCs w:val="24"/>
        </w:rPr>
      </w:pPr>
      <w:r>
        <w:rPr>
          <w:rFonts w:ascii="Calibri" w:hAnsi="Calibri"/>
          <w:szCs w:val="24"/>
        </w:rPr>
        <w:t xml:space="preserve">de l’information écrite sur les fonctions et les obligations </w:t>
      </w:r>
      <w:r w:rsidR="0096543B">
        <w:rPr>
          <w:rFonts w:ascii="Calibri" w:hAnsi="Calibri"/>
          <w:szCs w:val="24"/>
        </w:rPr>
        <w:br/>
      </w:r>
      <w:r>
        <w:rPr>
          <w:rFonts w:ascii="Calibri" w:hAnsi="Calibri"/>
          <w:szCs w:val="24"/>
        </w:rPr>
        <w:t>des administrateurs;</w:t>
      </w:r>
    </w:p>
    <w:p w14:paraId="4714598C" w14:textId="1B92C862" w:rsidR="009029ED" w:rsidRPr="00A94CC1" w:rsidRDefault="009029ED" w:rsidP="009029ED">
      <w:pPr>
        <w:numPr>
          <w:ilvl w:val="0"/>
          <w:numId w:val="17"/>
        </w:numPr>
        <w:tabs>
          <w:tab w:val="clear" w:pos="1440"/>
        </w:tabs>
        <w:spacing w:before="120" w:after="120"/>
        <w:ind w:left="2160"/>
        <w:rPr>
          <w:rFonts w:ascii="Calibri" w:eastAsia="Times New Roman" w:hAnsi="Calibri" w:cs="Calibri"/>
          <w:szCs w:val="24"/>
        </w:rPr>
      </w:pPr>
      <w:r>
        <w:rPr>
          <w:rFonts w:ascii="Calibri" w:hAnsi="Calibri"/>
          <w:szCs w:val="24"/>
        </w:rPr>
        <w:t xml:space="preserve">une introduction aux comités du conseil; </w:t>
      </w:r>
    </w:p>
    <w:p w14:paraId="72BC2A72" w14:textId="77777777" w:rsidR="009029ED" w:rsidRPr="00A94CC1" w:rsidRDefault="009029ED" w:rsidP="009029ED">
      <w:pPr>
        <w:numPr>
          <w:ilvl w:val="0"/>
          <w:numId w:val="17"/>
        </w:numPr>
        <w:tabs>
          <w:tab w:val="clear" w:pos="1440"/>
        </w:tabs>
        <w:spacing w:before="120" w:after="120"/>
        <w:ind w:left="2160"/>
        <w:rPr>
          <w:rFonts w:ascii="Calibri" w:eastAsia="Times New Roman" w:hAnsi="Calibri" w:cs="Calibri"/>
          <w:szCs w:val="24"/>
        </w:rPr>
      </w:pPr>
      <w:r>
        <w:rPr>
          <w:rFonts w:ascii="Calibri" w:hAnsi="Calibri"/>
          <w:szCs w:val="24"/>
        </w:rPr>
        <w:t>les documents des dernières réunions du conseil et des comités du conseil;</w:t>
      </w:r>
    </w:p>
    <w:p w14:paraId="37B54868" w14:textId="77777777" w:rsidR="009029ED" w:rsidRPr="00A94CC1" w:rsidRDefault="009029ED" w:rsidP="009029ED">
      <w:pPr>
        <w:keepNext/>
        <w:numPr>
          <w:ilvl w:val="0"/>
          <w:numId w:val="17"/>
        </w:numPr>
        <w:tabs>
          <w:tab w:val="clear" w:pos="1440"/>
        </w:tabs>
        <w:spacing w:before="120" w:after="120"/>
        <w:ind w:left="2160"/>
        <w:rPr>
          <w:rFonts w:ascii="Calibri" w:eastAsia="Times New Roman" w:hAnsi="Calibri" w:cs="Calibri"/>
          <w:szCs w:val="24"/>
        </w:rPr>
      </w:pPr>
      <w:r>
        <w:rPr>
          <w:rFonts w:ascii="Calibri" w:hAnsi="Calibri"/>
          <w:szCs w:val="24"/>
        </w:rPr>
        <w:t xml:space="preserve">une discussion sur : </w:t>
      </w:r>
    </w:p>
    <w:p w14:paraId="40A79453" w14:textId="77777777" w:rsidR="009029ED" w:rsidRPr="00A94CC1" w:rsidRDefault="009029ED" w:rsidP="009029ED">
      <w:pPr>
        <w:numPr>
          <w:ilvl w:val="0"/>
          <w:numId w:val="16"/>
        </w:numPr>
        <w:tabs>
          <w:tab w:val="clear" w:pos="2160"/>
        </w:tabs>
        <w:spacing w:before="120" w:after="120"/>
        <w:ind w:left="2610" w:hanging="360"/>
        <w:rPr>
          <w:rFonts w:ascii="Calibri" w:eastAsia="Times New Roman" w:hAnsi="Calibri" w:cs="Calibri"/>
          <w:szCs w:val="24"/>
        </w:rPr>
      </w:pPr>
      <w:r>
        <w:rPr>
          <w:rFonts w:ascii="Calibri" w:hAnsi="Calibri"/>
          <w:szCs w:val="24"/>
        </w:rPr>
        <w:t>le contexte, l’historique et le mandat de l’Office d’investissement du RPC;</w:t>
      </w:r>
    </w:p>
    <w:p w14:paraId="77F2061F" w14:textId="77777777" w:rsidR="009029ED" w:rsidRPr="00A94CC1" w:rsidRDefault="009029ED" w:rsidP="009029ED">
      <w:pPr>
        <w:numPr>
          <w:ilvl w:val="0"/>
          <w:numId w:val="16"/>
        </w:numPr>
        <w:tabs>
          <w:tab w:val="clear" w:pos="2160"/>
        </w:tabs>
        <w:spacing w:before="120" w:after="120"/>
        <w:ind w:left="2610" w:hanging="360"/>
        <w:rPr>
          <w:rFonts w:ascii="Calibri" w:eastAsia="Times New Roman" w:hAnsi="Calibri" w:cs="Calibri"/>
          <w:szCs w:val="24"/>
        </w:rPr>
      </w:pPr>
      <w:r>
        <w:rPr>
          <w:rFonts w:ascii="Calibri" w:hAnsi="Calibri"/>
          <w:szCs w:val="24"/>
        </w:rPr>
        <w:t xml:space="preserve">sa stratégie et le processus de planification de ses activités; </w:t>
      </w:r>
    </w:p>
    <w:p w14:paraId="1AE1C887" w14:textId="691E0A53" w:rsidR="009029ED" w:rsidRPr="00A94CC1" w:rsidRDefault="009029ED" w:rsidP="009029ED">
      <w:pPr>
        <w:numPr>
          <w:ilvl w:val="0"/>
          <w:numId w:val="16"/>
        </w:numPr>
        <w:tabs>
          <w:tab w:val="clear" w:pos="2160"/>
        </w:tabs>
        <w:spacing w:before="120" w:after="120"/>
        <w:ind w:left="2610" w:hanging="360"/>
        <w:rPr>
          <w:rFonts w:ascii="Calibri" w:eastAsia="Times New Roman" w:hAnsi="Calibri" w:cs="Calibri"/>
          <w:szCs w:val="24"/>
        </w:rPr>
      </w:pPr>
      <w:r>
        <w:rPr>
          <w:rFonts w:ascii="Calibri" w:hAnsi="Calibri"/>
          <w:szCs w:val="24"/>
        </w:rPr>
        <w:t xml:space="preserve">son plan d’entreprise et les plans d’activités de ses </w:t>
      </w:r>
      <w:r w:rsidR="0096543B">
        <w:rPr>
          <w:rFonts w:ascii="Calibri" w:hAnsi="Calibri"/>
          <w:szCs w:val="24"/>
        </w:rPr>
        <w:br/>
      </w:r>
      <w:r>
        <w:rPr>
          <w:rFonts w:ascii="Calibri" w:hAnsi="Calibri"/>
          <w:szCs w:val="24"/>
        </w:rPr>
        <w:t xml:space="preserve">différents services. </w:t>
      </w:r>
    </w:p>
    <w:p w14:paraId="62D6A0DB" w14:textId="77777777" w:rsidR="009029ED" w:rsidRPr="00A94CC1" w:rsidRDefault="009029ED" w:rsidP="009029ED">
      <w:pPr>
        <w:spacing w:before="120" w:after="120"/>
        <w:ind w:left="1440"/>
        <w:rPr>
          <w:rFonts w:ascii="Calibri" w:eastAsia="Times New Roman" w:hAnsi="Calibri" w:cs="Calibri"/>
          <w:szCs w:val="24"/>
        </w:rPr>
      </w:pPr>
      <w:r>
        <w:rPr>
          <w:rFonts w:ascii="Calibri" w:hAnsi="Calibri"/>
          <w:szCs w:val="24"/>
        </w:rPr>
        <w:t>Les nouveaux administrateurs ont l’occasion, durant la séance d’orientation, de rencontrer les membres de la haute direction et les autres administrateurs. Ils suivent par la suite une séance d’orientation approfondie sur les comités du conseil auxquels ils siègent.</w:t>
      </w:r>
    </w:p>
    <w:p w14:paraId="5EE5EC24" w14:textId="77777777" w:rsidR="009029ED" w:rsidRPr="00A94CC1" w:rsidRDefault="009029ED" w:rsidP="009029ED">
      <w:pPr>
        <w:pStyle w:val="Titre2"/>
        <w:spacing w:before="120"/>
        <w:rPr>
          <w:rFonts w:ascii="Calibri" w:hAnsi="Calibri" w:cs="Calibri"/>
          <w:szCs w:val="24"/>
        </w:rPr>
      </w:pPr>
      <w:bookmarkStart w:id="8" w:name="_Toc159835579"/>
      <w:bookmarkStart w:id="9" w:name="_Toc416704784"/>
      <w:r>
        <w:rPr>
          <w:rFonts w:ascii="Calibri" w:hAnsi="Calibri"/>
          <w:szCs w:val="24"/>
        </w:rPr>
        <w:t>Exposés de la direction</w:t>
      </w:r>
      <w:bookmarkEnd w:id="8"/>
      <w:bookmarkEnd w:id="9"/>
    </w:p>
    <w:p w14:paraId="35A10136" w14:textId="77777777" w:rsidR="009029ED" w:rsidRPr="00A94CC1" w:rsidRDefault="009029ED" w:rsidP="009029ED">
      <w:pPr>
        <w:spacing w:before="120" w:after="120"/>
        <w:ind w:left="1440"/>
        <w:rPr>
          <w:rFonts w:ascii="Calibri" w:hAnsi="Calibri" w:cs="Calibri"/>
          <w:szCs w:val="24"/>
        </w:rPr>
      </w:pPr>
      <w:r>
        <w:rPr>
          <w:rFonts w:ascii="Calibri" w:hAnsi="Calibri"/>
          <w:szCs w:val="24"/>
        </w:rPr>
        <w:t>Ces exposés sont présentés aux réunions du conseil. Chacun des services de placement présente annuellement un examen détaillé de ses activités. D’autres exposés ont lieu à l’occasion d’une demande d’approbation à venir portant sur une initiative d’entreprise de l’Office d’investissement du RPC. D’autres exposés s’inscrivent dans le cadre d’un nouvel aspect ou d’une modification de la politique de placement, mais ils peuvent aussi porter sur des questions telles que la valeur exposée au risque, la gestion active, les structures de rémunération des gestionnaires externes, le vote par procuration, etc. Bien que ces exposés portent sur les activités de l’Office d’investissement du RPC et, le cas échéant, toute approbation particulière demandée, il est entendu que les administrateurs veulent aussi en savoir davantage sur les normes généralement acceptées, les meilleures pratiques et les pratiques de la concurrence et qu’ils souhaitent non seulement connaître tous les détails pertinents, mais aussi avoir une idée générale de l’orientation générale et des risques.</w:t>
      </w:r>
    </w:p>
    <w:p w14:paraId="7CB8502D" w14:textId="77777777" w:rsidR="009029ED" w:rsidRPr="00A94CC1" w:rsidRDefault="009029ED" w:rsidP="009029ED">
      <w:pPr>
        <w:pStyle w:val="Titre2"/>
        <w:keepNext w:val="0"/>
        <w:spacing w:before="120"/>
        <w:rPr>
          <w:rFonts w:ascii="Calibri" w:hAnsi="Calibri" w:cs="Calibri"/>
          <w:szCs w:val="24"/>
        </w:rPr>
      </w:pPr>
      <w:bookmarkStart w:id="10" w:name="_Toc159835580"/>
      <w:bookmarkStart w:id="11" w:name="_Toc416704785"/>
      <w:r>
        <w:rPr>
          <w:rFonts w:ascii="Calibri" w:hAnsi="Calibri"/>
          <w:szCs w:val="24"/>
        </w:rPr>
        <w:t>Séminaires à l’intention des administrateurs</w:t>
      </w:r>
      <w:bookmarkEnd w:id="10"/>
      <w:bookmarkEnd w:id="11"/>
    </w:p>
    <w:p w14:paraId="45E8CD34" w14:textId="77777777" w:rsidR="009029ED" w:rsidRPr="00A94CC1" w:rsidRDefault="009029ED" w:rsidP="009029ED">
      <w:pPr>
        <w:pStyle w:val="Retraitcorpsdetexte2"/>
        <w:spacing w:before="120" w:after="120"/>
        <w:rPr>
          <w:rFonts w:ascii="Calibri" w:hAnsi="Calibri" w:cs="Calibri"/>
          <w:szCs w:val="24"/>
        </w:rPr>
      </w:pPr>
      <w:r>
        <w:rPr>
          <w:rFonts w:ascii="Calibri" w:hAnsi="Calibri"/>
          <w:szCs w:val="24"/>
        </w:rPr>
        <w:t>Ces séminaires, qui peuvent faire appel à des conférenciers internes et externes, ont toujours trait à des questions se rapportant aux activités de l’Office d’investissement du RPC. Ils peuvent porter, par exemple, sur le recours aux dérivés, le marché des actions de sociétés fermées en général et la répartition des risques et la plus-value nette corrigée du risque. Ces séminaires ont lieu surtout durant les réunions du conseil, lorsque la programmation le permet, et peuvent inclure des analyses approfondies plus intensives et plus longues dans des domaines qui intéressent particulièrement les administrateurs.</w:t>
      </w:r>
    </w:p>
    <w:p w14:paraId="0F150B4D" w14:textId="77777777" w:rsidR="009029ED" w:rsidRPr="00A94CC1" w:rsidRDefault="009029ED" w:rsidP="009029ED">
      <w:pPr>
        <w:pStyle w:val="Titre2"/>
        <w:spacing w:before="120"/>
        <w:rPr>
          <w:rFonts w:ascii="Calibri" w:hAnsi="Calibri" w:cs="Calibri"/>
          <w:szCs w:val="24"/>
        </w:rPr>
      </w:pPr>
      <w:bookmarkStart w:id="12" w:name="_Toc159835581"/>
      <w:bookmarkStart w:id="13" w:name="_Toc416704786"/>
      <w:r>
        <w:rPr>
          <w:rFonts w:ascii="Calibri" w:hAnsi="Calibri"/>
          <w:szCs w:val="24"/>
        </w:rPr>
        <w:t>Articles, adhésions et autres sources d’information</w:t>
      </w:r>
      <w:bookmarkEnd w:id="12"/>
      <w:bookmarkEnd w:id="13"/>
    </w:p>
    <w:p w14:paraId="355F406C" w14:textId="77777777" w:rsidR="009029ED" w:rsidRPr="0096543B" w:rsidRDefault="009029ED" w:rsidP="009029ED">
      <w:pPr>
        <w:keepLines/>
        <w:spacing w:before="120" w:after="120"/>
        <w:ind w:left="1440"/>
        <w:rPr>
          <w:rFonts w:ascii="Calibri" w:hAnsi="Calibri" w:cs="Calibri"/>
          <w:spacing w:val="-2"/>
          <w:szCs w:val="24"/>
        </w:rPr>
      </w:pPr>
      <w:r w:rsidRPr="0096543B">
        <w:rPr>
          <w:rFonts w:ascii="Calibri" w:hAnsi="Calibri"/>
          <w:spacing w:val="-2"/>
          <w:szCs w:val="24"/>
        </w:rPr>
        <w:t>La direction doit proposer des articles d’intérêt aux administrateurs, mais il faut que ces articles se rapportent directement aux activités de l’Office d’investissement du RPC et faire en sorte, le cas échéant, en particulier s’il s’agit d’articles sur le placement, d’inclure un sommaire et un résumé de leur contenu sur la couverture. D’autres documents, abonnements, adhésions ou sources d’information peuvent, le cas échéant, être fournis aux administrateurs en soutien à leur formation continue, selon ce que le comité de la gouvernance juge utile. La direction reçoit quotidiennement par courrier électronique des copies d’articles parus dans la presse du jour qui se rapportent directement ou indirectement à l’Office d’investissement du RPC; les administrateurs qui le désirent peuvent les recevoir aussi.</w:t>
      </w:r>
    </w:p>
    <w:p w14:paraId="22373299" w14:textId="77777777" w:rsidR="009029ED" w:rsidRPr="00A94CC1" w:rsidRDefault="009029ED" w:rsidP="009029ED">
      <w:pPr>
        <w:pStyle w:val="Titre2"/>
        <w:spacing w:before="120"/>
        <w:rPr>
          <w:rFonts w:ascii="Calibri" w:hAnsi="Calibri" w:cs="Calibri"/>
          <w:szCs w:val="24"/>
        </w:rPr>
      </w:pPr>
      <w:bookmarkStart w:id="14" w:name="_Toc416704787"/>
      <w:r>
        <w:rPr>
          <w:rFonts w:ascii="Calibri" w:hAnsi="Calibri"/>
          <w:szCs w:val="24"/>
        </w:rPr>
        <w:t>Conférences, séminaires et forums</w:t>
      </w:r>
      <w:bookmarkEnd w:id="14"/>
    </w:p>
    <w:p w14:paraId="3A9CD65F" w14:textId="77777777" w:rsidR="002F60E3" w:rsidRPr="00A94CC1" w:rsidRDefault="00D4629A" w:rsidP="009029ED">
      <w:pPr>
        <w:keepLines/>
        <w:spacing w:before="120" w:after="120"/>
        <w:ind w:left="1440"/>
        <w:rPr>
          <w:rFonts w:ascii="Calibri" w:hAnsi="Calibri" w:cs="Calibri"/>
          <w:szCs w:val="24"/>
        </w:rPr>
      </w:pPr>
      <w:r>
        <w:rPr>
          <w:rFonts w:ascii="Calibri" w:hAnsi="Calibri"/>
          <w:szCs w:val="24"/>
        </w:rPr>
        <w:t>Nonobstant les méthodes de formation susmentionnées, les administrateurs pourraient devoir continuer à approfondir leurs connaissances sur les sujets en lien avec leur rôle au sein de l’Office d’investissement du RPC en assistant à des conférences, des séminaires et de forums externes.</w:t>
      </w:r>
    </w:p>
    <w:p w14:paraId="2DD8DC98" w14:textId="77777777" w:rsidR="00341E8A" w:rsidRPr="0096543B" w:rsidRDefault="006A17A3" w:rsidP="009029ED">
      <w:pPr>
        <w:keepLines/>
        <w:spacing w:before="120" w:after="120"/>
        <w:ind w:left="1440"/>
        <w:rPr>
          <w:rFonts w:ascii="Calibri" w:hAnsi="Calibri" w:cs="Calibri"/>
          <w:spacing w:val="-2"/>
          <w:szCs w:val="24"/>
        </w:rPr>
      </w:pPr>
      <w:r w:rsidRPr="0096543B">
        <w:rPr>
          <w:rFonts w:ascii="Calibri" w:hAnsi="Calibri"/>
          <w:spacing w:val="-2"/>
          <w:szCs w:val="24"/>
        </w:rPr>
        <w:t>Ces occasions se présentent souvent dans des situations qui n’exigent pas le parrainage de l’Office d’investissement du RPC. Les administrateurs sont invités à informer le secrétaire général adjoint de leur participation à de telles activités non parrainées afin que cette information puisse alimenter les discussions mentionnées dans la section 3.6 ci-dessous ou, du moins, que leur participation puisse être soulevée lors de ces discussions.</w:t>
      </w:r>
    </w:p>
    <w:p w14:paraId="73938423" w14:textId="77777777" w:rsidR="009029ED" w:rsidRPr="00A94CC1" w:rsidRDefault="009029ED" w:rsidP="009029ED">
      <w:pPr>
        <w:keepLines/>
        <w:spacing w:before="120" w:after="120"/>
        <w:ind w:left="1440"/>
        <w:rPr>
          <w:rFonts w:ascii="Calibri" w:hAnsi="Calibri" w:cs="Calibri"/>
          <w:szCs w:val="24"/>
        </w:rPr>
      </w:pPr>
      <w:r>
        <w:rPr>
          <w:rFonts w:ascii="Calibri" w:hAnsi="Calibri"/>
          <w:szCs w:val="24"/>
        </w:rPr>
        <w:t>Les administrateurs sont encouragés, lorsqu’ils souhaitent que l’Office d’investissement du RPC parraine leur participation à des conférences, séminaires ou forums extérieurs, à soulever cette question auprès du président du conseil (ou du président du comité de la gouvernance, lorsque l’intéressé est le président du conseil). Celui-ci est habilité à approuver ces demandes au cas par cas et à certaines conditions, s’il le juge approprié. Il est important que l’approbation d’une telle demande tienne compte de ce qui suit :</w:t>
      </w:r>
    </w:p>
    <w:p w14:paraId="7D413982" w14:textId="3B56DBA8" w:rsidR="0088371B" w:rsidRPr="00A94CC1" w:rsidRDefault="0088371B" w:rsidP="0088371B">
      <w:pPr>
        <w:keepLines/>
        <w:numPr>
          <w:ilvl w:val="0"/>
          <w:numId w:val="18"/>
        </w:numPr>
        <w:tabs>
          <w:tab w:val="clear" w:pos="2160"/>
          <w:tab w:val="num" w:pos="1800"/>
        </w:tabs>
        <w:spacing w:before="120" w:after="120"/>
        <w:ind w:left="1800" w:hanging="360"/>
        <w:rPr>
          <w:rFonts w:ascii="Calibri" w:hAnsi="Calibri" w:cs="Calibri"/>
          <w:szCs w:val="24"/>
        </w:rPr>
      </w:pPr>
      <w:r>
        <w:rPr>
          <w:rFonts w:ascii="Calibri" w:hAnsi="Calibri"/>
          <w:szCs w:val="24"/>
        </w:rPr>
        <w:t xml:space="preserve">le sujet de la formation proposée doit être en lien direct avec les responsabilités de l’administrateur qui présente la demande en ce </w:t>
      </w:r>
      <w:r w:rsidR="0096543B">
        <w:rPr>
          <w:rFonts w:ascii="Calibri" w:hAnsi="Calibri"/>
          <w:szCs w:val="24"/>
        </w:rPr>
        <w:br/>
      </w:r>
      <w:r>
        <w:rPr>
          <w:rFonts w:ascii="Calibri" w:hAnsi="Calibri"/>
          <w:szCs w:val="24"/>
        </w:rPr>
        <w:t>qui a trait à la surveillance des activités de l’Office d’investissement du RPC;</w:t>
      </w:r>
    </w:p>
    <w:p w14:paraId="4A4827BD" w14:textId="0E3580D2" w:rsidR="0088371B" w:rsidRPr="00A94CC1" w:rsidRDefault="0088371B" w:rsidP="0088371B">
      <w:pPr>
        <w:keepLines/>
        <w:numPr>
          <w:ilvl w:val="0"/>
          <w:numId w:val="18"/>
        </w:numPr>
        <w:tabs>
          <w:tab w:val="clear" w:pos="2160"/>
          <w:tab w:val="num" w:pos="1800"/>
        </w:tabs>
        <w:spacing w:before="120" w:after="120"/>
        <w:ind w:left="1800" w:hanging="360"/>
        <w:rPr>
          <w:rFonts w:ascii="Calibri" w:hAnsi="Calibri" w:cs="Calibri"/>
          <w:szCs w:val="24"/>
        </w:rPr>
      </w:pPr>
      <w:r>
        <w:rPr>
          <w:rFonts w:ascii="Calibri" w:hAnsi="Calibri"/>
          <w:szCs w:val="24"/>
        </w:rPr>
        <w:t xml:space="preserve">les répercussions possibles de la participation à la formation </w:t>
      </w:r>
      <w:r w:rsidR="0096543B">
        <w:rPr>
          <w:rFonts w:ascii="Calibri" w:hAnsi="Calibri"/>
          <w:szCs w:val="24"/>
        </w:rPr>
        <w:br/>
      </w:r>
      <w:r>
        <w:rPr>
          <w:rFonts w:ascii="Calibri" w:hAnsi="Calibri"/>
          <w:szCs w:val="24"/>
        </w:rPr>
        <w:t xml:space="preserve">sur la réputation de l’Office d’investissement du RPC; </w:t>
      </w:r>
    </w:p>
    <w:p w14:paraId="4D294CB6" w14:textId="77777777" w:rsidR="00176F27" w:rsidRPr="00A94CC1" w:rsidRDefault="00176F27" w:rsidP="0088371B">
      <w:pPr>
        <w:keepLines/>
        <w:numPr>
          <w:ilvl w:val="0"/>
          <w:numId w:val="18"/>
        </w:numPr>
        <w:tabs>
          <w:tab w:val="clear" w:pos="2160"/>
          <w:tab w:val="num" w:pos="1800"/>
        </w:tabs>
        <w:spacing w:before="120" w:after="120"/>
        <w:ind w:left="1800" w:hanging="360"/>
        <w:rPr>
          <w:rFonts w:ascii="Calibri" w:hAnsi="Calibri" w:cs="Calibri"/>
          <w:szCs w:val="24"/>
        </w:rPr>
      </w:pPr>
      <w:r>
        <w:rPr>
          <w:rFonts w:ascii="Calibri" w:hAnsi="Calibri"/>
          <w:szCs w:val="24"/>
        </w:rPr>
        <w:t>le coût de l’événement est raisonnable, compte tenu du coût des autres possibilités de formation comparables;</w:t>
      </w:r>
    </w:p>
    <w:p w14:paraId="4470ADCB" w14:textId="258F2C25" w:rsidR="00176F27" w:rsidRPr="00A94CC1" w:rsidRDefault="005612A3" w:rsidP="00176F27">
      <w:pPr>
        <w:keepLines/>
        <w:numPr>
          <w:ilvl w:val="0"/>
          <w:numId w:val="18"/>
        </w:numPr>
        <w:tabs>
          <w:tab w:val="clear" w:pos="2160"/>
          <w:tab w:val="num" w:pos="1800"/>
        </w:tabs>
        <w:spacing w:before="120" w:after="120"/>
        <w:ind w:left="1800" w:hanging="360"/>
        <w:rPr>
          <w:rFonts w:ascii="Calibri" w:hAnsi="Calibri" w:cs="Calibri"/>
          <w:szCs w:val="24"/>
        </w:rPr>
      </w:pPr>
      <w:r>
        <w:rPr>
          <w:rFonts w:ascii="Calibri" w:hAnsi="Calibri"/>
          <w:szCs w:val="24"/>
        </w:rPr>
        <w:t xml:space="preserve">les </w:t>
      </w:r>
      <w:r w:rsidR="00176F27">
        <w:rPr>
          <w:rFonts w:ascii="Calibri" w:hAnsi="Calibri"/>
          <w:szCs w:val="24"/>
        </w:rPr>
        <w:t xml:space="preserve">administrateurs sont traités équitablement. À cette fin, les administrateurs doivent être informés rapidement d’une activité </w:t>
      </w:r>
      <w:r w:rsidR="0096543B">
        <w:rPr>
          <w:rFonts w:ascii="Calibri" w:hAnsi="Calibri"/>
          <w:szCs w:val="24"/>
        </w:rPr>
        <w:br/>
      </w:r>
      <w:r w:rsidR="00176F27">
        <w:rPr>
          <w:rFonts w:ascii="Calibri" w:hAnsi="Calibri"/>
          <w:szCs w:val="24"/>
        </w:rPr>
        <w:t>de formation :</w:t>
      </w:r>
    </w:p>
    <w:p w14:paraId="31C8301F" w14:textId="009D58E5" w:rsidR="00176F27" w:rsidRPr="00A94CC1" w:rsidRDefault="00176F27" w:rsidP="00987100">
      <w:pPr>
        <w:keepLines/>
        <w:numPr>
          <w:ilvl w:val="1"/>
          <w:numId w:val="18"/>
        </w:numPr>
        <w:tabs>
          <w:tab w:val="clear" w:pos="2880"/>
          <w:tab w:val="num" w:pos="2340"/>
        </w:tabs>
        <w:spacing w:before="120" w:after="120"/>
        <w:ind w:left="2340"/>
        <w:rPr>
          <w:rFonts w:ascii="Calibri" w:hAnsi="Calibri" w:cs="Calibri"/>
          <w:szCs w:val="24"/>
        </w:rPr>
      </w:pPr>
      <w:r>
        <w:rPr>
          <w:rFonts w:ascii="Calibri" w:hAnsi="Calibri"/>
          <w:szCs w:val="24"/>
        </w:rPr>
        <w:t xml:space="preserve"> à laquelle un administrateur a été autorisé à participer</w:t>
      </w:r>
      <w:r w:rsidR="005612A3">
        <w:rPr>
          <w:rFonts w:ascii="Calibri" w:hAnsi="Calibri"/>
          <w:szCs w:val="24"/>
        </w:rPr>
        <w:t>;</w:t>
      </w:r>
    </w:p>
    <w:p w14:paraId="67EAD3E6" w14:textId="2F67E750" w:rsidR="00987100" w:rsidRPr="00A94CC1" w:rsidRDefault="00797140" w:rsidP="00987100">
      <w:pPr>
        <w:keepLines/>
        <w:numPr>
          <w:ilvl w:val="1"/>
          <w:numId w:val="18"/>
        </w:numPr>
        <w:tabs>
          <w:tab w:val="clear" w:pos="2880"/>
          <w:tab w:val="num" w:pos="2340"/>
        </w:tabs>
        <w:spacing w:before="120" w:after="120"/>
        <w:ind w:left="2340"/>
        <w:rPr>
          <w:rFonts w:ascii="Calibri" w:hAnsi="Calibri" w:cs="Calibri"/>
          <w:szCs w:val="24"/>
        </w:rPr>
      </w:pPr>
      <w:r>
        <w:rPr>
          <w:rFonts w:ascii="Calibri" w:hAnsi="Calibri"/>
          <w:szCs w:val="24"/>
        </w:rPr>
        <w:t xml:space="preserve">qui est recommandée par un administrateur qui ne peut pas y participer ou qui est portée à l’attention du président du conseil ou du président du comité de la gouvernance et qui, selon </w:t>
      </w:r>
      <w:r w:rsidR="0096543B">
        <w:rPr>
          <w:rFonts w:ascii="Calibri" w:hAnsi="Calibri"/>
          <w:szCs w:val="24"/>
        </w:rPr>
        <w:br/>
      </w:r>
      <w:r>
        <w:rPr>
          <w:rFonts w:ascii="Calibri" w:hAnsi="Calibri"/>
          <w:szCs w:val="24"/>
        </w:rPr>
        <w:t xml:space="preserve">le président du conseil, doit être communiquée aux </w:t>
      </w:r>
      <w:r w:rsidR="0096543B">
        <w:rPr>
          <w:rFonts w:ascii="Calibri" w:hAnsi="Calibri"/>
          <w:szCs w:val="24"/>
        </w:rPr>
        <w:br/>
      </w:r>
      <w:r>
        <w:rPr>
          <w:rFonts w:ascii="Calibri" w:hAnsi="Calibri"/>
          <w:szCs w:val="24"/>
        </w:rPr>
        <w:t>autres administrateurs</w:t>
      </w:r>
      <w:r w:rsidR="005612A3">
        <w:rPr>
          <w:rFonts w:ascii="Calibri" w:hAnsi="Calibri"/>
          <w:szCs w:val="24"/>
        </w:rPr>
        <w:t xml:space="preserve">; </w:t>
      </w:r>
    </w:p>
    <w:p w14:paraId="36D01910" w14:textId="77777777" w:rsidR="0088371B" w:rsidRPr="00A94CC1" w:rsidRDefault="00176F27" w:rsidP="00987100">
      <w:pPr>
        <w:keepLines/>
        <w:spacing w:before="120" w:after="120"/>
        <w:ind w:left="1800"/>
        <w:rPr>
          <w:rFonts w:ascii="Calibri" w:hAnsi="Calibri" w:cs="Calibri"/>
          <w:szCs w:val="24"/>
        </w:rPr>
      </w:pPr>
      <w:r>
        <w:rPr>
          <w:rFonts w:ascii="Calibri" w:hAnsi="Calibri"/>
          <w:szCs w:val="24"/>
        </w:rPr>
        <w:t>avec tous les détails pertinents, la possibilité de participer à cet événement étant offerte de manière impartiale aux autres administrateurs. Afin que ces possibilités soient réparties équitablement , le président du conseil ou le président du comité, selon le cas, doit prendre en compte, avec les autres facteurs qu’il juge appropriés, la pertinence du séminaire du point de vue des objectifs de formation de l’administrateur à l’Office d’investissement du RPC ainsi que les autres événements auxquels l’administrateur a participé dans le passé suivant la présente politique.</w:t>
      </w:r>
    </w:p>
    <w:p w14:paraId="685E53FA" w14:textId="77777777" w:rsidR="00797140" w:rsidRPr="00A94CC1" w:rsidRDefault="00797140" w:rsidP="009029ED">
      <w:pPr>
        <w:keepLines/>
        <w:spacing w:before="120" w:after="120"/>
        <w:ind w:left="720"/>
        <w:rPr>
          <w:rFonts w:ascii="Calibri" w:hAnsi="Calibri" w:cs="Calibri"/>
          <w:szCs w:val="24"/>
        </w:rPr>
      </w:pPr>
      <w:r>
        <w:rPr>
          <w:rFonts w:ascii="Calibri" w:hAnsi="Calibri"/>
          <w:szCs w:val="24"/>
        </w:rPr>
        <w:t>Le comité de la gouvernance doit examiner annuellement les activités de formation extérieures auxquelles les administrateurs ont participé, y compris les activités parrainées par l’Office d’investissement du RPC et leurs coûts connexes.</w:t>
      </w:r>
    </w:p>
    <w:p w14:paraId="05C87D82" w14:textId="77777777" w:rsidR="006A17A3" w:rsidRPr="00A94CC1" w:rsidRDefault="006A17A3" w:rsidP="009029ED">
      <w:pPr>
        <w:keepLines/>
        <w:spacing w:before="120" w:after="120"/>
        <w:ind w:left="720"/>
        <w:rPr>
          <w:rFonts w:ascii="Calibri" w:hAnsi="Calibri" w:cs="Calibri"/>
          <w:szCs w:val="24"/>
        </w:rPr>
      </w:pPr>
    </w:p>
    <w:p w14:paraId="778395FA" w14:textId="77777777" w:rsidR="006A17A3" w:rsidRPr="00A94CC1" w:rsidRDefault="006A17A3" w:rsidP="006A17A3">
      <w:pPr>
        <w:pStyle w:val="Titre2"/>
        <w:rPr>
          <w:rFonts w:ascii="Calibri" w:hAnsi="Calibri" w:cs="Calibri"/>
          <w:szCs w:val="24"/>
        </w:rPr>
      </w:pPr>
      <w:bookmarkStart w:id="15" w:name="_Toc416704788"/>
      <w:r>
        <w:rPr>
          <w:rFonts w:ascii="Calibri" w:hAnsi="Calibri"/>
          <w:szCs w:val="24"/>
        </w:rPr>
        <w:t>Rétroaction des administrateurs</w:t>
      </w:r>
      <w:bookmarkEnd w:id="15"/>
    </w:p>
    <w:p w14:paraId="0E1D890A" w14:textId="77777777" w:rsidR="006A17A3" w:rsidRPr="0096543B" w:rsidRDefault="006A17A3" w:rsidP="006A17A3">
      <w:pPr>
        <w:keepLines/>
        <w:spacing w:before="120" w:after="120"/>
        <w:ind w:left="720"/>
        <w:rPr>
          <w:rFonts w:ascii="Calibri" w:hAnsi="Calibri" w:cs="Calibri"/>
          <w:spacing w:val="-2"/>
          <w:szCs w:val="24"/>
        </w:rPr>
      </w:pPr>
      <w:r w:rsidRPr="0096543B">
        <w:rPr>
          <w:rFonts w:ascii="Calibri" w:hAnsi="Calibri"/>
          <w:spacing w:val="-2"/>
          <w:szCs w:val="24"/>
        </w:rPr>
        <w:t>Chaque administrateur doit, durant son entrevue individuelle avec le président du conseil qui a lieu une fois par année dans le cadre du processus d’évaluation par les pairs (et le président du conseil, durant la discussion qui a lieu une fois par année avec le président du comité de la gouvernance  dans le cadre du processus d’évaluation du président du conseil), discuter des questions soulevées dans la présente politique et fournir à cet égard une rétroaction d’ordre général ainsi que relativement à sa formation. Cette rétroaction doit, s’il y a lieu, être prise en compte dans l’examen mentionné à la section 3.7 ci-dessous.</w:t>
      </w:r>
    </w:p>
    <w:p w14:paraId="1E1F09CB" w14:textId="77777777" w:rsidR="006A17A3" w:rsidRPr="00A94CC1" w:rsidRDefault="006A17A3" w:rsidP="009029ED">
      <w:pPr>
        <w:keepLines/>
        <w:spacing w:before="120" w:after="120"/>
        <w:ind w:left="720"/>
        <w:rPr>
          <w:rFonts w:ascii="Calibri" w:hAnsi="Calibri" w:cs="Calibri"/>
          <w:szCs w:val="24"/>
        </w:rPr>
      </w:pPr>
    </w:p>
    <w:p w14:paraId="27C77D53" w14:textId="77777777" w:rsidR="00987100" w:rsidRPr="00A94CC1" w:rsidRDefault="00987100" w:rsidP="00987100">
      <w:pPr>
        <w:pStyle w:val="Titre2"/>
        <w:rPr>
          <w:rFonts w:ascii="Calibri" w:hAnsi="Calibri" w:cs="Calibri"/>
          <w:szCs w:val="24"/>
        </w:rPr>
      </w:pPr>
      <w:bookmarkStart w:id="16" w:name="_Toc416704789"/>
      <w:r>
        <w:rPr>
          <w:rFonts w:ascii="Calibri" w:hAnsi="Calibri"/>
          <w:szCs w:val="24"/>
        </w:rPr>
        <w:t>Examen</w:t>
      </w:r>
      <w:bookmarkEnd w:id="16"/>
      <w:r>
        <w:rPr>
          <w:rFonts w:ascii="Calibri" w:hAnsi="Calibri"/>
          <w:szCs w:val="24"/>
        </w:rPr>
        <w:t xml:space="preserve"> </w:t>
      </w:r>
    </w:p>
    <w:p w14:paraId="2B1FA50E" w14:textId="77777777" w:rsidR="009029ED" w:rsidRPr="00A94CC1" w:rsidRDefault="009029ED" w:rsidP="009029ED">
      <w:pPr>
        <w:keepLines/>
        <w:spacing w:before="120" w:after="120"/>
        <w:ind w:left="720"/>
        <w:rPr>
          <w:rFonts w:ascii="Calibri" w:hAnsi="Calibri" w:cs="Calibri"/>
          <w:szCs w:val="24"/>
        </w:rPr>
      </w:pPr>
      <w:r>
        <w:rPr>
          <w:rFonts w:ascii="Calibri" w:hAnsi="Calibri"/>
          <w:szCs w:val="24"/>
        </w:rPr>
        <w:t xml:space="preserve">Le comité de la gouvernance révise de manière continue, au moment où il le juge propice, les méthodes de formation des administrateurs décrites ci-dessus. </w:t>
      </w:r>
    </w:p>
    <w:sectPr w:rsidR="009029ED" w:rsidRPr="00A94CC1" w:rsidSect="009029ED">
      <w:footnotePr>
        <w:pos w:val="beneathText"/>
      </w:foot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12B1" w14:textId="77777777" w:rsidR="00CD2DB3" w:rsidRDefault="00CD2DB3">
      <w:r>
        <w:separator/>
      </w:r>
    </w:p>
  </w:endnote>
  <w:endnote w:type="continuationSeparator" w:id="0">
    <w:p w14:paraId="349D4413" w14:textId="77777777" w:rsidR="00CD2DB3" w:rsidRDefault="00C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ACEF" w14:textId="77777777" w:rsidR="00E30EFC" w:rsidRDefault="00E30E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1EEA">
      <w:rPr>
        <w:rStyle w:val="Numrodepage"/>
        <w:noProof/>
      </w:rPr>
      <w:t>vi</w:t>
    </w:r>
    <w:r>
      <w:rPr>
        <w:rStyle w:val="Numrodepage"/>
      </w:rPr>
      <w:fldChar w:fldCharType="end"/>
    </w:r>
  </w:p>
  <w:p w14:paraId="2F52FE34" w14:textId="77777777" w:rsidR="00E30EFC" w:rsidRDefault="00E30E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0D64" w14:textId="77777777" w:rsidR="00E30EFC" w:rsidRPr="00C92C5D" w:rsidRDefault="00E30EFC">
    <w:pPr>
      <w:pStyle w:val="Pieddepage"/>
      <w:framePr w:wrap="around" w:vAnchor="text" w:hAnchor="margin" w:xAlign="right" w:y="1"/>
      <w:rPr>
        <w:rStyle w:val="Numrodepage"/>
        <w:rFonts w:ascii="Calibri" w:hAnsi="Calibri"/>
        <w:szCs w:val="24"/>
      </w:rPr>
    </w:pPr>
    <w:r w:rsidRPr="00C92C5D">
      <w:rPr>
        <w:rStyle w:val="Numrodepage"/>
        <w:rFonts w:ascii="Calibri" w:hAnsi="Calibri"/>
        <w:szCs w:val="24"/>
      </w:rPr>
      <w:fldChar w:fldCharType="begin"/>
    </w:r>
    <w:r w:rsidRPr="00C92C5D">
      <w:rPr>
        <w:rStyle w:val="Numrodepage"/>
        <w:rFonts w:ascii="Calibri" w:hAnsi="Calibri"/>
        <w:szCs w:val="24"/>
      </w:rPr>
      <w:instrText xml:space="preserve">PAGE  </w:instrText>
    </w:r>
    <w:r w:rsidRPr="00C92C5D">
      <w:rPr>
        <w:rStyle w:val="Numrodepage"/>
        <w:rFonts w:ascii="Calibri" w:hAnsi="Calibri"/>
        <w:szCs w:val="24"/>
      </w:rPr>
      <w:fldChar w:fldCharType="separate"/>
    </w:r>
    <w:r w:rsidR="00DB61D5">
      <w:rPr>
        <w:rStyle w:val="Numrodepage"/>
        <w:rFonts w:ascii="Calibri" w:hAnsi="Calibri"/>
        <w:noProof/>
        <w:szCs w:val="24"/>
      </w:rPr>
      <w:t>1</w:t>
    </w:r>
    <w:r w:rsidRPr="00C92C5D">
      <w:rPr>
        <w:rStyle w:val="Numrodepage"/>
        <w:rFonts w:ascii="Calibri" w:hAnsi="Calibri"/>
        <w:szCs w:val="24"/>
      </w:rPr>
      <w:fldChar w:fldCharType="end"/>
    </w:r>
  </w:p>
  <w:p w14:paraId="1A269F6E" w14:textId="77777777" w:rsidR="00E30EFC" w:rsidRPr="00C92C5D" w:rsidRDefault="00E30EFC" w:rsidP="009029ED">
    <w:pPr>
      <w:pStyle w:val="Pieddepage"/>
      <w:tabs>
        <w:tab w:val="clear" w:pos="4320"/>
        <w:tab w:val="clear" w:pos="8640"/>
        <w:tab w:val="right" w:pos="12780"/>
      </w:tabs>
      <w:ind w:right="360"/>
      <w:rPr>
        <w:rFonts w:ascii="Calibri" w:hAnsi="Calibri"/>
        <w:szCs w:val="24"/>
      </w:rPr>
    </w:pPr>
    <w:r>
      <w:rPr>
        <w:rFonts w:ascii="Calibri" w:hAnsi="Calibri"/>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7794A" w14:textId="77777777" w:rsidR="00CD2DB3" w:rsidRDefault="00CD2DB3">
      <w:r>
        <w:separator/>
      </w:r>
    </w:p>
  </w:footnote>
  <w:footnote w:type="continuationSeparator" w:id="0">
    <w:p w14:paraId="7AE783B6" w14:textId="77777777" w:rsidR="00CD2DB3" w:rsidRDefault="00CD2DB3">
      <w:r>
        <w:continuationSeparator/>
      </w:r>
    </w:p>
  </w:footnote>
  <w:footnote w:id="1">
    <w:p w14:paraId="160FCC8F" w14:textId="77777777" w:rsidR="00E30EFC" w:rsidRPr="00E30EFC" w:rsidRDefault="00E30EFC">
      <w:pPr>
        <w:pStyle w:val="Notedebasdepage"/>
        <w:rPr>
          <w:rFonts w:ascii="Calibri" w:hAnsi="Calibri" w:cs="Calibri"/>
        </w:rPr>
      </w:pPr>
      <w:r>
        <w:rPr>
          <w:rStyle w:val="Appelnotedebasdep"/>
        </w:rPr>
        <w:footnoteRef/>
      </w:r>
      <w:r>
        <w:t xml:space="preserve"> </w:t>
      </w:r>
      <w:r>
        <w:rPr>
          <w:rFonts w:ascii="Calibri" w:hAnsi="Calibri"/>
        </w:rPr>
        <w:t>Paragraphe 10(4) de la 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AB3B" w14:textId="77777777" w:rsidR="00E30EFC" w:rsidRPr="00E30EFC" w:rsidRDefault="00E30EFC">
    <w:pPr>
      <w:pStyle w:val="En-tte"/>
      <w:tabs>
        <w:tab w:val="clear" w:pos="4320"/>
      </w:tabs>
      <w:rPr>
        <w:rFonts w:ascii="Calibri" w:hAnsi="Calibri" w:cs="Calibri"/>
        <w:b/>
      </w:rPr>
    </w:pPr>
    <w:r>
      <w:rPr>
        <w:rFonts w:ascii="Calibri" w:hAnsi="Calibri"/>
        <w:b/>
      </w:rPr>
      <w:t>ORIENTATION ET FORMATION DES ADMINISTRATEURS</w:t>
    </w:r>
  </w:p>
  <w:p w14:paraId="70B0ACD4" w14:textId="77777777" w:rsidR="00E30EFC" w:rsidRDefault="00E30EFC">
    <w:pPr>
      <w:pStyle w:val="En-tte"/>
      <w:pBdr>
        <w:bottom w:val="single" w:sz="2" w:space="1" w:color="auto"/>
      </w:pBdr>
      <w:tabs>
        <w:tab w:val="clear" w:pos="4320"/>
      </w:tabs>
      <w:rPr>
        <w:b/>
      </w:rPr>
    </w:pPr>
  </w:p>
  <w:p w14:paraId="44E33C46" w14:textId="77777777" w:rsidR="00E30EFC" w:rsidRDefault="00E30EFC">
    <w:pPr>
      <w:pStyle w:val="En-tte"/>
      <w:tabs>
        <w:tab w:val="clear" w:pos="43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76E8" w14:textId="77777777" w:rsidR="00C92C5D" w:rsidRDefault="00C92C5D" w:rsidP="00C92C5D"/>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42"/>
    </w:tblGrid>
    <w:tr w:rsidR="00C92C5D" w14:paraId="7D1DAA61" w14:textId="77777777" w:rsidTr="009F3FE8">
      <w:tc>
        <w:tcPr>
          <w:tcW w:w="4788" w:type="dxa"/>
          <w:tcBorders>
            <w:top w:val="nil"/>
            <w:left w:val="nil"/>
            <w:bottom w:val="nil"/>
            <w:right w:val="nil"/>
          </w:tcBorders>
          <w:vAlign w:val="center"/>
        </w:tcPr>
        <w:p w14:paraId="48E89B71" w14:textId="4021C2A7" w:rsidR="00C92C5D" w:rsidRDefault="00A15D44" w:rsidP="009F3FE8">
          <w:pPr>
            <w:pStyle w:val="En-tte"/>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00DB61D5">
            <w:rPr>
              <w:rFonts w:ascii="Times New Roman" w:eastAsia="Times New Roman" w:hAnsi="Times New Roman"/>
              <w:noProof/>
              <w:lang w:val="en-CA"/>
            </w:rPr>
            <w:fldChar w:fldCharType="begin"/>
          </w:r>
          <w:r w:rsidR="00DB61D5">
            <w:rPr>
              <w:rFonts w:ascii="Times New Roman" w:eastAsia="Times New Roman" w:hAnsi="Times New Roman"/>
              <w:noProof/>
              <w:lang w:val="en-CA"/>
            </w:rPr>
            <w:instrText xml:space="preserve"> </w:instrText>
          </w:r>
          <w:r w:rsidR="00DB61D5">
            <w:rPr>
              <w:rFonts w:ascii="Times New Roman" w:eastAsia="Times New Roman" w:hAnsi="Times New Roman"/>
              <w:noProof/>
              <w:lang w:val="en-CA"/>
            </w:rPr>
            <w:instrText>INCLUDEPICTURE  "http://www.cppib.com/media/original_images/CPPIB_FR_LOGO.png" \* MERGEFORMATINET</w:instrText>
          </w:r>
          <w:r w:rsidR="00DB61D5">
            <w:rPr>
              <w:rFonts w:ascii="Times New Roman" w:eastAsia="Times New Roman" w:hAnsi="Times New Roman"/>
              <w:noProof/>
              <w:lang w:val="en-CA"/>
            </w:rPr>
            <w:instrText xml:space="preserve"> </w:instrText>
          </w:r>
          <w:r w:rsidR="00DB61D5">
            <w:rPr>
              <w:rFonts w:ascii="Times New Roman" w:eastAsia="Times New Roman" w:hAnsi="Times New Roman"/>
              <w:noProof/>
              <w:lang w:val="en-CA"/>
            </w:rPr>
            <w:fldChar w:fldCharType="separate"/>
          </w:r>
          <w:r w:rsidR="00DB61D5">
            <w:rPr>
              <w:rFonts w:ascii="Times New Roman" w:eastAsia="Times New Roman" w:hAnsi="Times New Roman"/>
              <w:noProof/>
              <w:lang w:val="en-CA"/>
            </w:rPr>
            <w:pict w14:anchorId="6287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www.cppib.com/media/original_images/CPPIB_FR_LOGO.png" style="width:178.9pt;height:36.65pt;visibility:visible;mso-wrap-style:square">
                <v:imagedata r:id="rId1" r:href="rId2"/>
              </v:shape>
            </w:pict>
          </w:r>
          <w:r w:rsidR="00DB61D5">
            <w:rPr>
              <w:rFonts w:ascii="Times New Roman" w:eastAsia="Times New Roman" w:hAnsi="Times New Roman"/>
              <w:noProof/>
              <w:lang w:val="en-CA"/>
            </w:rPr>
            <w:fldChar w:fldCharType="end"/>
          </w:r>
          <w:r w:rsidRPr="00D1132B">
            <w:rPr>
              <w:rFonts w:ascii="Times New Roman" w:eastAsia="Times New Roman" w:hAnsi="Times New Roman"/>
              <w:lang w:val="en-CA"/>
            </w:rPr>
            <w:fldChar w:fldCharType="end"/>
          </w:r>
        </w:p>
      </w:tc>
      <w:tc>
        <w:tcPr>
          <w:tcW w:w="4842" w:type="dxa"/>
          <w:tcBorders>
            <w:top w:val="nil"/>
            <w:left w:val="nil"/>
            <w:bottom w:val="nil"/>
            <w:right w:val="nil"/>
          </w:tcBorders>
          <w:vAlign w:val="center"/>
        </w:tcPr>
        <w:p w14:paraId="1EA00CF4" w14:textId="77777777" w:rsidR="00C92C5D" w:rsidRPr="0052392A" w:rsidRDefault="00C92C5D" w:rsidP="00C92C5D">
          <w:pPr>
            <w:pStyle w:val="En-tte"/>
            <w:jc w:val="right"/>
            <w:rPr>
              <w:rFonts w:ascii="Calibri" w:hAnsi="Calibri"/>
              <w:b/>
              <w:sz w:val="28"/>
              <w:szCs w:val="28"/>
            </w:rPr>
          </w:pPr>
        </w:p>
      </w:tc>
    </w:tr>
  </w:tbl>
  <w:p w14:paraId="761E3EDA" w14:textId="77777777" w:rsidR="00E30EFC" w:rsidRDefault="00E30E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1F72BC44"/>
    <w:lvl w:ilvl="0">
      <w:start w:val="1"/>
      <w:numFmt w:val="decimal"/>
      <w:pStyle w:val="Titre1"/>
      <w:lvlText w:val="%1.0"/>
      <w:lvlJc w:val="left"/>
      <w:pPr>
        <w:tabs>
          <w:tab w:val="num" w:pos="720"/>
        </w:tabs>
        <w:ind w:left="720" w:hanging="720"/>
      </w:pPr>
      <w:rPr>
        <w:rFonts w:ascii="Calibri" w:hAnsi="Calibri" w:hint="default"/>
        <w:b/>
        <w:i w:val="0"/>
        <w:sz w:val="22"/>
      </w:rPr>
    </w:lvl>
    <w:lvl w:ilvl="1">
      <w:start w:val="1"/>
      <w:numFmt w:val="decimal"/>
      <w:pStyle w:val="Titre2"/>
      <w:lvlText w:val="%1.%2"/>
      <w:lvlJc w:val="left"/>
      <w:pPr>
        <w:tabs>
          <w:tab w:val="num" w:pos="1440"/>
        </w:tabs>
        <w:ind w:left="1440" w:hanging="720"/>
      </w:pPr>
      <w:rPr>
        <w:rFonts w:ascii="Calibri" w:hAnsi="Calibri" w:hint="default"/>
        <w:b/>
        <w:i w:val="0"/>
        <w:sz w:val="22"/>
      </w:rPr>
    </w:lvl>
    <w:lvl w:ilvl="2">
      <w:start w:val="1"/>
      <w:numFmt w:val="decimal"/>
      <w:pStyle w:val="Titre3"/>
      <w:lvlText w:val="%1.%2.%3"/>
      <w:lvlJc w:val="left"/>
      <w:pPr>
        <w:tabs>
          <w:tab w:val="num" w:pos="2160"/>
        </w:tabs>
        <w:ind w:left="2160" w:hanging="720"/>
      </w:pPr>
      <w:rPr>
        <w:rFonts w:ascii="Calibri" w:hAnsi="Calibri" w:hint="default"/>
        <w:b/>
        <w:i w:val="0"/>
        <w:sz w:val="22"/>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1">
    <w:nsid w:val="082B7ECF"/>
    <w:multiLevelType w:val="multilevel"/>
    <w:tmpl w:val="ECC26D30"/>
    <w:lvl w:ilvl="0">
      <w:start w:val="1"/>
      <w:numFmt w:val="decimal"/>
      <w:lvlText w:val="%1.0"/>
      <w:lvlJc w:val="left"/>
      <w:pPr>
        <w:tabs>
          <w:tab w:val="num" w:pos="720"/>
        </w:tabs>
        <w:ind w:left="720" w:hanging="720"/>
      </w:pPr>
      <w:rPr>
        <w:rFonts w:ascii="Garamond" w:hAnsi="Garamond" w:hint="default"/>
        <w:b/>
        <w:i w:val="0"/>
        <w:sz w:val="24"/>
      </w:rPr>
    </w:lvl>
    <w:lvl w:ilvl="1">
      <w:start w:val="1"/>
      <w:numFmt w:val="decimal"/>
      <w:lvlText w:val="%1.%2"/>
      <w:lvlJc w:val="left"/>
      <w:pPr>
        <w:tabs>
          <w:tab w:val="num" w:pos="1440"/>
        </w:tabs>
        <w:ind w:left="1440" w:hanging="720"/>
      </w:pPr>
      <w:rPr>
        <w:rFonts w:ascii="Garamond" w:hAnsi="Garamond" w:hint="default"/>
        <w:b/>
        <w:i w:val="0"/>
        <w:sz w:val="24"/>
      </w:rPr>
    </w:lvl>
    <w:lvl w:ilvl="2">
      <w:start w:val="1"/>
      <w:numFmt w:val="decimal"/>
      <w:lvlText w:val="%1.%2.%3"/>
      <w:lvlJc w:val="left"/>
      <w:pPr>
        <w:tabs>
          <w:tab w:val="num" w:pos="2160"/>
        </w:tabs>
        <w:ind w:left="2160" w:hanging="720"/>
      </w:pPr>
      <w:rPr>
        <w:rFonts w:ascii="Garamond" w:hAnsi="Garamond" w:hint="default"/>
        <w:b/>
        <w:i w:val="0"/>
        <w:sz w:val="24"/>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2">
    <w:nsid w:val="0EBF71FC"/>
    <w:multiLevelType w:val="multilevel"/>
    <w:tmpl w:val="ECC26D30"/>
    <w:styleLink w:val="Style1"/>
    <w:lvl w:ilvl="0">
      <w:start w:val="1"/>
      <w:numFmt w:val="decimal"/>
      <w:lvlText w:val="%1.0"/>
      <w:lvlJc w:val="left"/>
      <w:pPr>
        <w:tabs>
          <w:tab w:val="num" w:pos="720"/>
        </w:tabs>
        <w:ind w:left="720" w:hanging="720"/>
      </w:pPr>
      <w:rPr>
        <w:rFonts w:ascii="Calibri" w:hAnsi="Calibri" w:hint="default"/>
        <w:b/>
        <w:i w:val="0"/>
        <w:sz w:val="22"/>
      </w:rPr>
    </w:lvl>
    <w:lvl w:ilvl="1">
      <w:start w:val="1"/>
      <w:numFmt w:val="decimal"/>
      <w:lvlText w:val="%1.%2"/>
      <w:lvlJc w:val="left"/>
      <w:pPr>
        <w:tabs>
          <w:tab w:val="num" w:pos="1440"/>
        </w:tabs>
        <w:ind w:left="1440" w:hanging="720"/>
      </w:pPr>
      <w:rPr>
        <w:rFonts w:ascii="Garamond" w:hAnsi="Garamond" w:hint="default"/>
        <w:b/>
        <w:i w:val="0"/>
        <w:sz w:val="24"/>
      </w:rPr>
    </w:lvl>
    <w:lvl w:ilvl="2">
      <w:start w:val="1"/>
      <w:numFmt w:val="decimal"/>
      <w:lvlText w:val="%1.%2.%3"/>
      <w:lvlJc w:val="left"/>
      <w:pPr>
        <w:tabs>
          <w:tab w:val="num" w:pos="2160"/>
        </w:tabs>
        <w:ind w:left="2160" w:hanging="720"/>
      </w:pPr>
      <w:rPr>
        <w:rFonts w:ascii="Garamond" w:hAnsi="Garamond" w:hint="default"/>
        <w:b/>
        <w:i w:val="0"/>
        <w:sz w:val="24"/>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3">
    <w:nsid w:val="18646B32"/>
    <w:multiLevelType w:val="hybridMultilevel"/>
    <w:tmpl w:val="7312DE88"/>
    <w:lvl w:ilvl="0" w:tplc="001B0409">
      <w:start w:val="1"/>
      <w:numFmt w:val="lowerRoman"/>
      <w:lvlText w:val="%1."/>
      <w:lvlJc w:val="right"/>
      <w:pPr>
        <w:tabs>
          <w:tab w:val="num" w:pos="2160"/>
        </w:tabs>
        <w:ind w:left="216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A014B5C"/>
    <w:multiLevelType w:val="hybridMultilevel"/>
    <w:tmpl w:val="96A00BC0"/>
    <w:lvl w:ilvl="0" w:tplc="7BDE96CC">
      <w:start w:val="1"/>
      <w:numFmt w:val="low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F9B4481"/>
    <w:multiLevelType w:val="hybridMultilevel"/>
    <w:tmpl w:val="BCBCFBDE"/>
    <w:lvl w:ilvl="0" w:tplc="7BDE96CC">
      <w:start w:val="1"/>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391302C"/>
    <w:multiLevelType w:val="hybridMultilevel"/>
    <w:tmpl w:val="AAEA88AA"/>
    <w:lvl w:ilvl="0" w:tplc="001B0409">
      <w:start w:val="1"/>
      <w:numFmt w:val="lowerRoman"/>
      <w:lvlText w:val="%1."/>
      <w:lvlJc w:val="right"/>
      <w:pPr>
        <w:tabs>
          <w:tab w:val="num" w:pos="2160"/>
        </w:tabs>
        <w:ind w:left="216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7522063"/>
    <w:multiLevelType w:val="multilevel"/>
    <w:tmpl w:val="BCBCFBDE"/>
    <w:lvl w:ilvl="0">
      <w:start w:val="1"/>
      <w:numFmt w:val="lowerLetter"/>
      <w:lvlText w:val="(%1)"/>
      <w:lvlJc w:val="left"/>
      <w:pPr>
        <w:tabs>
          <w:tab w:val="num" w:pos="1440"/>
        </w:tabs>
        <w:ind w:left="1440" w:hanging="72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1A1324B"/>
    <w:multiLevelType w:val="multilevel"/>
    <w:tmpl w:val="5ED0D760"/>
    <w:lvl w:ilvl="0">
      <w:start w:val="1"/>
      <w:numFmt w:val="decimal"/>
      <w:lvlText w:val="%1.0"/>
      <w:lvlJc w:val="left"/>
      <w:pPr>
        <w:tabs>
          <w:tab w:val="num" w:pos="720"/>
        </w:tabs>
        <w:ind w:left="720" w:hanging="720"/>
      </w:pPr>
      <w:rPr>
        <w:rFonts w:ascii="Garamond" w:hAnsi="Garamond" w:hint="default"/>
        <w:b/>
        <w:i w:val="0"/>
        <w:sz w:val="24"/>
      </w:rPr>
    </w:lvl>
    <w:lvl w:ilvl="1">
      <w:start w:val="1"/>
      <w:numFmt w:val="decimal"/>
      <w:lvlText w:val="%1.%2"/>
      <w:lvlJc w:val="left"/>
      <w:pPr>
        <w:tabs>
          <w:tab w:val="num" w:pos="1440"/>
        </w:tabs>
        <w:ind w:left="1440" w:hanging="720"/>
      </w:pPr>
      <w:rPr>
        <w:rFonts w:ascii="Garamond" w:hAnsi="Garamond" w:hint="default"/>
        <w:b/>
        <w:i w:val="0"/>
        <w:sz w:val="24"/>
      </w:rPr>
    </w:lvl>
    <w:lvl w:ilvl="2">
      <w:start w:val="1"/>
      <w:numFmt w:val="decimal"/>
      <w:lvlText w:val="%1.%2.%3"/>
      <w:lvlJc w:val="left"/>
      <w:pPr>
        <w:tabs>
          <w:tab w:val="num" w:pos="2160"/>
        </w:tabs>
        <w:ind w:left="2160" w:hanging="720"/>
      </w:pPr>
      <w:rPr>
        <w:rFonts w:ascii="Garamond" w:hAnsi="Garamond" w:hint="default"/>
        <w:b/>
        <w:i w:val="0"/>
        <w:sz w:val="24"/>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9">
    <w:nsid w:val="37AE3EA1"/>
    <w:multiLevelType w:val="hybridMultilevel"/>
    <w:tmpl w:val="EC8A2A04"/>
    <w:lvl w:ilvl="0" w:tplc="7BDE96CC">
      <w:start w:val="1"/>
      <w:numFmt w:val="lowerLetter"/>
      <w:lvlText w:val="(%1)"/>
      <w:lvlJc w:val="left"/>
      <w:pPr>
        <w:tabs>
          <w:tab w:val="num" w:pos="1440"/>
        </w:tabs>
        <w:ind w:left="1440" w:hanging="720"/>
      </w:pPr>
      <w:rPr>
        <w:rFonts w:hint="default"/>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8B4201F"/>
    <w:multiLevelType w:val="hybridMultilevel"/>
    <w:tmpl w:val="29FAD580"/>
    <w:lvl w:ilvl="0" w:tplc="3E76863C">
      <w:start w:val="1"/>
      <w:numFmt w:val="lowerLetter"/>
      <w:lvlText w:val="(%1)"/>
      <w:lvlJc w:val="left"/>
      <w:pPr>
        <w:tabs>
          <w:tab w:val="num" w:pos="2160"/>
        </w:tabs>
        <w:ind w:left="1440" w:firstLine="432"/>
      </w:pPr>
      <w:rPr>
        <w:rFonts w:hint="default"/>
      </w:rPr>
    </w:lvl>
    <w:lvl w:ilvl="1" w:tplc="0409001B">
      <w:start w:val="1"/>
      <w:numFmt w:val="lowerRoman"/>
      <w:lvlText w:val="%2."/>
      <w:lvlJc w:val="righ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E480F67"/>
    <w:multiLevelType w:val="hybridMultilevel"/>
    <w:tmpl w:val="380810DC"/>
    <w:lvl w:ilvl="0" w:tplc="5386B46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24B7624"/>
    <w:multiLevelType w:val="singleLevel"/>
    <w:tmpl w:val="2ED02D36"/>
    <w:lvl w:ilvl="0">
      <w:start w:val="14"/>
      <w:numFmt w:val="upperLetter"/>
      <w:pStyle w:val="Titre5"/>
      <w:lvlText w:val="%1."/>
      <w:lvlJc w:val="left"/>
      <w:pPr>
        <w:tabs>
          <w:tab w:val="num" w:pos="720"/>
        </w:tabs>
        <w:ind w:left="720" w:hanging="720"/>
      </w:pPr>
    </w:lvl>
  </w:abstractNum>
  <w:abstractNum w:abstractNumId="13">
    <w:nsid w:val="650A79D5"/>
    <w:multiLevelType w:val="hybridMultilevel"/>
    <w:tmpl w:val="5824CDEC"/>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C27363E"/>
    <w:multiLevelType w:val="hybridMultilevel"/>
    <w:tmpl w:val="5F00E0BE"/>
    <w:lvl w:ilvl="0" w:tplc="00190409">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3"/>
  </w:num>
  <w:num w:numId="3">
    <w:abstractNumId w:val="12"/>
  </w:num>
  <w:num w:numId="4">
    <w:abstractNumId w:val="11"/>
  </w:num>
  <w:num w:numId="5">
    <w:abstractNumId w:val="5"/>
  </w:num>
  <w:num w:numId="6">
    <w:abstractNumId w:val="0"/>
  </w:num>
  <w:num w:numId="7">
    <w:abstractNumId w:val="0"/>
  </w:num>
  <w:num w:numId="8">
    <w:abstractNumId w:val="0"/>
  </w:num>
  <w:num w:numId="9">
    <w:abstractNumId w:val="0"/>
  </w:num>
  <w:num w:numId="10">
    <w:abstractNumId w:val="0"/>
  </w:num>
  <w:num w:numId="11">
    <w:abstractNumId w:val="7"/>
  </w:num>
  <w:num w:numId="12">
    <w:abstractNumId w:val="9"/>
  </w:num>
  <w:num w:numId="13">
    <w:abstractNumId w:val="0"/>
  </w:num>
  <w:num w:numId="14">
    <w:abstractNumId w:val="6"/>
  </w:num>
  <w:num w:numId="15">
    <w:abstractNumId w:val="14"/>
  </w:num>
  <w:num w:numId="16">
    <w:abstractNumId w:val="3"/>
  </w:num>
  <w:num w:numId="17">
    <w:abstractNumId w:val="4"/>
  </w:num>
  <w:num w:numId="18">
    <w:abstractNumId w:val="10"/>
  </w:num>
  <w:num w:numId="19">
    <w:abstractNumId w:val="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E75"/>
    <w:rsid w:val="000A24F5"/>
    <w:rsid w:val="000C2095"/>
    <w:rsid w:val="00112299"/>
    <w:rsid w:val="0012157A"/>
    <w:rsid w:val="00145DB9"/>
    <w:rsid w:val="00147F6C"/>
    <w:rsid w:val="00171CFC"/>
    <w:rsid w:val="00176F27"/>
    <w:rsid w:val="001C0D89"/>
    <w:rsid w:val="00262916"/>
    <w:rsid w:val="002E2FA4"/>
    <w:rsid w:val="002E72E6"/>
    <w:rsid w:val="002F60E3"/>
    <w:rsid w:val="002F7928"/>
    <w:rsid w:val="00341E8A"/>
    <w:rsid w:val="00362F79"/>
    <w:rsid w:val="0036329A"/>
    <w:rsid w:val="003868CE"/>
    <w:rsid w:val="003A020B"/>
    <w:rsid w:val="003A2C94"/>
    <w:rsid w:val="003D5CC5"/>
    <w:rsid w:val="003F012C"/>
    <w:rsid w:val="003F6CDF"/>
    <w:rsid w:val="00406256"/>
    <w:rsid w:val="00426E9B"/>
    <w:rsid w:val="004528A6"/>
    <w:rsid w:val="004548A9"/>
    <w:rsid w:val="00487BED"/>
    <w:rsid w:val="0049330D"/>
    <w:rsid w:val="004973E4"/>
    <w:rsid w:val="004D198A"/>
    <w:rsid w:val="00536624"/>
    <w:rsid w:val="005612A3"/>
    <w:rsid w:val="00595AC6"/>
    <w:rsid w:val="005A2B7C"/>
    <w:rsid w:val="005C7AE2"/>
    <w:rsid w:val="005D34C7"/>
    <w:rsid w:val="005E5BDE"/>
    <w:rsid w:val="006335CC"/>
    <w:rsid w:val="0067322B"/>
    <w:rsid w:val="00690BAD"/>
    <w:rsid w:val="006A17A3"/>
    <w:rsid w:val="006B6F7E"/>
    <w:rsid w:val="006B71DE"/>
    <w:rsid w:val="006C3529"/>
    <w:rsid w:val="0073796D"/>
    <w:rsid w:val="007508E1"/>
    <w:rsid w:val="00754840"/>
    <w:rsid w:val="00797140"/>
    <w:rsid w:val="007C10FE"/>
    <w:rsid w:val="00811EEA"/>
    <w:rsid w:val="008213CE"/>
    <w:rsid w:val="008340CD"/>
    <w:rsid w:val="00881F6B"/>
    <w:rsid w:val="0088371B"/>
    <w:rsid w:val="00886DC5"/>
    <w:rsid w:val="008A4818"/>
    <w:rsid w:val="008C5FFD"/>
    <w:rsid w:val="008C65F1"/>
    <w:rsid w:val="009029ED"/>
    <w:rsid w:val="00924A83"/>
    <w:rsid w:val="009331DC"/>
    <w:rsid w:val="0096543B"/>
    <w:rsid w:val="00981866"/>
    <w:rsid w:val="00987100"/>
    <w:rsid w:val="009E1541"/>
    <w:rsid w:val="009F3FE8"/>
    <w:rsid w:val="00A15D44"/>
    <w:rsid w:val="00A31841"/>
    <w:rsid w:val="00A94CC1"/>
    <w:rsid w:val="00AA1969"/>
    <w:rsid w:val="00B005F5"/>
    <w:rsid w:val="00B57C3B"/>
    <w:rsid w:val="00BB33DD"/>
    <w:rsid w:val="00BC7CE0"/>
    <w:rsid w:val="00BE1E63"/>
    <w:rsid w:val="00BE6642"/>
    <w:rsid w:val="00C11E75"/>
    <w:rsid w:val="00C243ED"/>
    <w:rsid w:val="00C31C85"/>
    <w:rsid w:val="00C529D5"/>
    <w:rsid w:val="00C825CF"/>
    <w:rsid w:val="00C867CA"/>
    <w:rsid w:val="00C92C5D"/>
    <w:rsid w:val="00CA3A01"/>
    <w:rsid w:val="00CC1F98"/>
    <w:rsid w:val="00CD2DB3"/>
    <w:rsid w:val="00CF3F31"/>
    <w:rsid w:val="00CF6746"/>
    <w:rsid w:val="00D076D5"/>
    <w:rsid w:val="00D327F8"/>
    <w:rsid w:val="00D4629A"/>
    <w:rsid w:val="00D519B2"/>
    <w:rsid w:val="00D554DD"/>
    <w:rsid w:val="00D56D16"/>
    <w:rsid w:val="00D76113"/>
    <w:rsid w:val="00D838D4"/>
    <w:rsid w:val="00D841A0"/>
    <w:rsid w:val="00D92852"/>
    <w:rsid w:val="00DA3DB7"/>
    <w:rsid w:val="00DB61D5"/>
    <w:rsid w:val="00DF6996"/>
    <w:rsid w:val="00E13FFE"/>
    <w:rsid w:val="00E15CF9"/>
    <w:rsid w:val="00E30EFC"/>
    <w:rsid w:val="00E56785"/>
    <w:rsid w:val="00E74FDF"/>
    <w:rsid w:val="00EB6670"/>
    <w:rsid w:val="00EC5563"/>
    <w:rsid w:val="00EE5DE6"/>
    <w:rsid w:val="00F40BFF"/>
    <w:rsid w:val="00F52410"/>
    <w:rsid w:val="00F814AF"/>
    <w:rsid w:val="00FB2068"/>
    <w:rsid w:val="00FE3A18"/>
    <w:rsid w:val="00FE58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C0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val="fr-CA"/>
    </w:rPr>
  </w:style>
  <w:style w:type="paragraph" w:styleId="Titre1">
    <w:name w:val="heading 1"/>
    <w:basedOn w:val="Normal"/>
    <w:next w:val="Normal"/>
    <w:qFormat/>
    <w:rsid w:val="00E30EFC"/>
    <w:pPr>
      <w:keepNext/>
      <w:numPr>
        <w:numId w:val="1"/>
      </w:numPr>
      <w:spacing w:before="120" w:after="120"/>
      <w:jc w:val="both"/>
      <w:outlineLvl w:val="0"/>
    </w:pPr>
    <w:rPr>
      <w:rFonts w:ascii="Calibri" w:hAnsi="Calibri" w:cs="Calibri"/>
      <w:b/>
      <w:sz w:val="22"/>
      <w:szCs w:val="22"/>
    </w:rPr>
  </w:style>
  <w:style w:type="paragraph" w:styleId="Titre2">
    <w:name w:val="heading 2"/>
    <w:basedOn w:val="Normal"/>
    <w:next w:val="Normal"/>
    <w:qFormat/>
    <w:pPr>
      <w:keepNext/>
      <w:numPr>
        <w:ilvl w:val="1"/>
        <w:numId w:val="1"/>
      </w:numPr>
      <w:spacing w:after="120"/>
      <w:jc w:val="both"/>
      <w:outlineLvl w:val="1"/>
    </w:pPr>
    <w:rPr>
      <w:b/>
    </w:rPr>
  </w:style>
  <w:style w:type="paragraph" w:styleId="Titre3">
    <w:name w:val="heading 3"/>
    <w:basedOn w:val="Normal"/>
    <w:next w:val="Normal"/>
    <w:qFormat/>
    <w:pPr>
      <w:keepNext/>
      <w:numPr>
        <w:ilvl w:val="2"/>
        <w:numId w:val="1"/>
      </w:numPr>
      <w:spacing w:after="240"/>
      <w:jc w:val="both"/>
      <w:outlineLvl w:val="2"/>
    </w:pPr>
    <w:rPr>
      <w:b/>
    </w:rPr>
  </w:style>
  <w:style w:type="paragraph" w:styleId="Titre4">
    <w:name w:val="heading 4"/>
    <w:basedOn w:val="Normal"/>
    <w:next w:val="Normal"/>
    <w:qFormat/>
    <w:pPr>
      <w:keepNext/>
      <w:jc w:val="center"/>
      <w:outlineLvl w:val="3"/>
    </w:pPr>
    <w:rPr>
      <w:b/>
      <w:bCs/>
      <w:sz w:val="40"/>
    </w:rPr>
  </w:style>
  <w:style w:type="paragraph" w:styleId="Titre5">
    <w:name w:val="heading 5"/>
    <w:basedOn w:val="Normal"/>
    <w:next w:val="Normal"/>
    <w:qFormat/>
    <w:pPr>
      <w:keepNext/>
      <w:numPr>
        <w:numId w:val="3"/>
      </w:numPr>
      <w:outlineLvl w:val="4"/>
    </w:pPr>
    <w:rPr>
      <w:rFonts w:ascii="Times" w:hAnsi="Times"/>
      <w:b/>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jc w:val="center"/>
      <w:outlineLvl w:val="6"/>
    </w:pPr>
    <w:rPr>
      <w:b/>
      <w:bCs/>
      <w:sz w:val="36"/>
    </w:rPr>
  </w:style>
  <w:style w:type="paragraph" w:styleId="Titre8">
    <w:name w:val="heading 8"/>
    <w:basedOn w:val="Normal"/>
    <w:next w:val="Normal"/>
    <w:qFormat/>
    <w:pPr>
      <w:keepNext/>
      <w:jc w:val="center"/>
      <w:outlineLvl w:val="7"/>
    </w:pPr>
    <w:rPr>
      <w:b/>
      <w:bCs/>
    </w:rPr>
  </w:style>
  <w:style w:type="paragraph" w:styleId="Titre9">
    <w:name w:val="heading 9"/>
    <w:basedOn w:val="Normal"/>
    <w:next w:val="Normal"/>
    <w:qFormat/>
    <w:pPr>
      <w:keepNext/>
      <w:outlineLvl w:val="8"/>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jc w:val="center"/>
    </w:pPr>
    <w:rPr>
      <w:rFonts w:eastAsia="Times New Roman"/>
      <w:b/>
      <w:sz w:val="28"/>
    </w:rPr>
  </w:style>
  <w:style w:type="paragraph" w:styleId="Sous-titre">
    <w:name w:val="Subtitle"/>
    <w:basedOn w:val="Normal"/>
    <w:qFormat/>
    <w:pPr>
      <w:jc w:val="center"/>
    </w:pPr>
    <w:rPr>
      <w:rFonts w:eastAsia="Times New Roman"/>
      <w:b/>
      <w:sz w:val="28"/>
    </w:rPr>
  </w:style>
  <w:style w:type="character" w:styleId="Lienhypertexte">
    <w:name w:val="Hyperlink"/>
    <w:uiPriority w:val="99"/>
    <w:rPr>
      <w:color w:val="0000FF"/>
      <w:u w:val="single"/>
    </w:rPr>
  </w:style>
  <w:style w:type="paragraph" w:styleId="Notedebasdepage">
    <w:name w:val="footnote text"/>
    <w:basedOn w:val="Normal"/>
    <w:semiHidden/>
    <w:rPr>
      <w:rFonts w:eastAsia="Times New Roman"/>
      <w:sz w:val="20"/>
    </w:rPr>
  </w:style>
  <w:style w:type="character" w:styleId="Appelnotedebasdep">
    <w:name w:val="footnote reference"/>
    <w:semiHidden/>
    <w:rPr>
      <w:vertAlign w:val="superscript"/>
    </w:rPr>
  </w:style>
  <w:style w:type="paragraph" w:styleId="Retraitcorpsdetexte">
    <w:name w:val="Body Text Indent"/>
    <w:basedOn w:val="Normal"/>
    <w:pPr>
      <w:spacing w:line="360" w:lineRule="auto"/>
      <w:ind w:left="720"/>
    </w:pPr>
  </w:style>
  <w:style w:type="paragraph" w:styleId="Retraitcorpsdetexte2">
    <w:name w:val="Body Text Indent 2"/>
    <w:basedOn w:val="Normal"/>
    <w:pPr>
      <w:ind w:left="1440"/>
    </w:pPr>
  </w:style>
  <w:style w:type="paragraph" w:styleId="Retraitcorpsdetexte3">
    <w:name w:val="Body Text Indent 3"/>
    <w:basedOn w:val="Normal"/>
    <w:pPr>
      <w:numPr>
        <w:ilvl w:val="1"/>
      </w:numPr>
      <w:spacing w:line="360" w:lineRule="auto"/>
      <w:ind w:left="720"/>
      <w:jc w:val="both"/>
    </w:pPr>
  </w:style>
  <w:style w:type="paragraph" w:styleId="TM1">
    <w:name w:val="toc 1"/>
    <w:basedOn w:val="Normal"/>
    <w:next w:val="Normal"/>
    <w:autoRedefine/>
    <w:uiPriority w:val="39"/>
    <w:rsid w:val="00CF3F31"/>
    <w:pPr>
      <w:spacing w:before="240"/>
      <w:ind w:left="720" w:hanging="720"/>
    </w:pPr>
    <w:rPr>
      <w:rFonts w:ascii="Calibri" w:hAnsi="Calibri"/>
    </w:rPr>
  </w:style>
  <w:style w:type="paragraph" w:styleId="TM2">
    <w:name w:val="toc 2"/>
    <w:basedOn w:val="Normal"/>
    <w:next w:val="Normal"/>
    <w:autoRedefine/>
    <w:uiPriority w:val="39"/>
    <w:pPr>
      <w:ind w:left="1440" w:hanging="720"/>
    </w:pPr>
    <w:rPr>
      <w:bCs/>
    </w:rPr>
  </w:style>
  <w:style w:type="paragraph" w:styleId="TM3">
    <w:name w:val="toc 3"/>
    <w:basedOn w:val="Normal"/>
    <w:next w:val="Normal"/>
    <w:autoRedefine/>
    <w:semiHidden/>
    <w:pPr>
      <w:ind w:left="2160" w:hanging="720"/>
    </w:pPr>
    <w:rPr>
      <w:i/>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Corpsdetexte">
    <w:name w:val="Body Text"/>
    <w:basedOn w:val="Normal"/>
    <w:pPr>
      <w:widowControl w:val="0"/>
      <w:tabs>
        <w:tab w:val="left" w:pos="144"/>
      </w:tabs>
      <w:jc w:val="both"/>
    </w:pPr>
    <w:rPr>
      <w:rFonts w:ascii="Times" w:eastAsia="Times New Roman" w:hAnsi="Times"/>
    </w:rPr>
  </w:style>
  <w:style w:type="paragraph" w:customStyle="1" w:styleId="StandardL1">
    <w:name w:val="Standard_L1"/>
    <w:basedOn w:val="Normal"/>
    <w:pPr>
      <w:widowControl w:val="0"/>
      <w:tabs>
        <w:tab w:val="left" w:pos="720"/>
      </w:tabs>
      <w:spacing w:after="240"/>
      <w:ind w:left="720" w:hanging="720"/>
      <w:jc w:val="both"/>
    </w:pPr>
    <w:rPr>
      <w:rFonts w:ascii="Times New Roman" w:eastAsia="Times New Roman" w:hAnsi="Times New Roman"/>
      <w:snapToGrid w:val="0"/>
      <w:color w:val="000000"/>
    </w:rPr>
  </w:style>
  <w:style w:type="paragraph" w:customStyle="1" w:styleId="OHHpara">
    <w:name w:val="OHHpara"/>
    <w:aliases w:val="P"/>
    <w:basedOn w:val="Normal"/>
    <w:pPr>
      <w:widowControl w:val="0"/>
      <w:spacing w:after="240"/>
      <w:jc w:val="both"/>
    </w:pPr>
    <w:rPr>
      <w:rFonts w:ascii="Times New Roman" w:eastAsia="Times New Roman" w:hAnsi="Times New Roman"/>
      <w:snapToGrid w:val="0"/>
    </w:rPr>
  </w:style>
  <w:style w:type="paragraph" w:customStyle="1" w:styleId="OHHTab">
    <w:name w:val="OHHTab"/>
    <w:aliases w:val="T"/>
    <w:basedOn w:val="OHHpara"/>
    <w:pPr>
      <w:ind w:firstLine="720"/>
    </w:pPr>
  </w:style>
  <w:style w:type="paragraph" w:customStyle="1" w:styleId="StandardL2">
    <w:name w:val="Standard_L2"/>
    <w:basedOn w:val="StandardL1"/>
    <w:pPr>
      <w:tabs>
        <w:tab w:val="left" w:pos="1440"/>
      </w:tabs>
      <w:ind w:left="1440"/>
    </w:pPr>
  </w:style>
  <w:style w:type="paragraph" w:customStyle="1" w:styleId="StandardL3">
    <w:name w:val="Standard_L3"/>
    <w:basedOn w:val="StandardL2"/>
    <w:pPr>
      <w:tabs>
        <w:tab w:val="left" w:pos="2160"/>
      </w:tabs>
      <w:ind w:left="2160"/>
    </w:pPr>
  </w:style>
  <w:style w:type="paragraph" w:customStyle="1" w:styleId="OHHLR">
    <w:name w:val="OHHLR"/>
    <w:aliases w:val="LR"/>
    <w:basedOn w:val="OHHpara"/>
    <w:pPr>
      <w:widowControl/>
      <w:ind w:left="720" w:right="720"/>
    </w:pPr>
    <w:rPr>
      <w:snapToGrid/>
    </w:rPr>
  </w:style>
  <w:style w:type="paragraph" w:styleId="Normalcentr">
    <w:name w:val="Block Text"/>
    <w:basedOn w:val="Normal"/>
    <w:pPr>
      <w:tabs>
        <w:tab w:val="left" w:pos="0"/>
      </w:tabs>
      <w:suppressAutoHyphens/>
      <w:spacing w:after="240" w:line="360" w:lineRule="auto"/>
      <w:ind w:left="1440" w:right="1440"/>
      <w:jc w:val="both"/>
    </w:pPr>
    <w:rPr>
      <w:rFonts w:ascii="Times" w:hAnsi="Times"/>
      <w:i/>
    </w:rPr>
  </w:style>
  <w:style w:type="character" w:customStyle="1" w:styleId="DocId">
    <w:name w:val="DocId"/>
    <w:rPr>
      <w:sz w:val="12"/>
    </w:rPr>
  </w:style>
  <w:style w:type="paragraph" w:styleId="Corpsdetexte2">
    <w:name w:val="Body Text 2"/>
    <w:basedOn w:val="Normal"/>
    <w:pPr>
      <w:jc w:val="center"/>
    </w:pPr>
    <w:rPr>
      <w:b/>
      <w:bCs/>
      <w:sz w:val="40"/>
    </w:rPr>
  </w:style>
  <w:style w:type="paragraph" w:styleId="Corpsdetexte3">
    <w:name w:val="Body Text 3"/>
    <w:basedOn w:val="Normal"/>
    <w:rPr>
      <w:sz w:val="20"/>
    </w:rPr>
  </w:style>
  <w:style w:type="paragraph" w:styleId="Textedebulles">
    <w:name w:val="Balloon Text"/>
    <w:basedOn w:val="Normal"/>
    <w:semiHidden/>
    <w:rsid w:val="000F2AC0"/>
    <w:rPr>
      <w:rFonts w:ascii="Lucida Grande" w:hAnsi="Lucida Grande"/>
      <w:sz w:val="18"/>
      <w:szCs w:val="18"/>
    </w:rPr>
  </w:style>
  <w:style w:type="numbering" w:customStyle="1" w:styleId="Style1">
    <w:name w:val="Style1"/>
    <w:rsid w:val="00E30EFC"/>
    <w:pPr>
      <w:numPr>
        <w:numId w:val="19"/>
      </w:numPr>
    </w:pPr>
  </w:style>
  <w:style w:type="character" w:customStyle="1" w:styleId="En-tteCar">
    <w:name w:val="En-tête Car"/>
    <w:link w:val="En-tte"/>
    <w:uiPriority w:val="99"/>
    <w:rsid w:val="00C92C5D"/>
    <w:rPr>
      <w:rFonts w:ascii="Garamond" w:hAnsi="Garamond"/>
      <w:sz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cppib.com/media/original_images/CPPIB_FR_LOGO.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D1FF447524F458A116F78D79984CA" ma:contentTypeVersion="0" ma:contentTypeDescription="Create a new document." ma:contentTypeScope="" ma:versionID="50b07ef64327fbd94f5b82694dfe10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3A97-33F5-4EB9-9339-DAB7DE67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FAC6A6-A0F6-4551-8C24-5A269FFCF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42F5E-98A8-42DE-860A-066F667BD84C}">
  <ds:schemaRefs>
    <ds:schemaRef ds:uri="http://schemas.microsoft.com/sharepoint/v3/contenttype/forms"/>
  </ds:schemaRefs>
</ds:datastoreItem>
</file>

<file path=customXml/itemProps4.xml><?xml version="1.0" encoding="utf-8"?>
<ds:datastoreItem xmlns:ds="http://schemas.openxmlformats.org/officeDocument/2006/customXml" ds:itemID="{5FBD9CA3-471E-45CF-90D6-8532FE3D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1981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vt:lpstr>
    </vt:vector>
  </TitlesOfParts>
  <Company>Patrick O'Callaghan &amp;  Associates</Company>
  <LinksUpToDate>false</LinksUpToDate>
  <CharactersWithSpaces>12854</CharactersWithSpaces>
  <SharedDoc>false</SharedDoc>
  <HLinks>
    <vt:vector size="54" baseType="variant">
      <vt:variant>
        <vt:i4>1638461</vt:i4>
      </vt:variant>
      <vt:variant>
        <vt:i4>50</vt:i4>
      </vt:variant>
      <vt:variant>
        <vt:i4>0</vt:i4>
      </vt:variant>
      <vt:variant>
        <vt:i4>5</vt:i4>
      </vt:variant>
      <vt:variant>
        <vt:lpwstr/>
      </vt:variant>
      <vt:variant>
        <vt:lpwstr>_Toc259527495</vt:lpwstr>
      </vt:variant>
      <vt:variant>
        <vt:i4>1638461</vt:i4>
      </vt:variant>
      <vt:variant>
        <vt:i4>44</vt:i4>
      </vt:variant>
      <vt:variant>
        <vt:i4>0</vt:i4>
      </vt:variant>
      <vt:variant>
        <vt:i4>5</vt:i4>
      </vt:variant>
      <vt:variant>
        <vt:lpwstr/>
      </vt:variant>
      <vt:variant>
        <vt:lpwstr>_Toc259527494</vt:lpwstr>
      </vt:variant>
      <vt:variant>
        <vt:i4>1638461</vt:i4>
      </vt:variant>
      <vt:variant>
        <vt:i4>38</vt:i4>
      </vt:variant>
      <vt:variant>
        <vt:i4>0</vt:i4>
      </vt:variant>
      <vt:variant>
        <vt:i4>5</vt:i4>
      </vt:variant>
      <vt:variant>
        <vt:lpwstr/>
      </vt:variant>
      <vt:variant>
        <vt:lpwstr>_Toc259527493</vt:lpwstr>
      </vt:variant>
      <vt:variant>
        <vt:i4>1638461</vt:i4>
      </vt:variant>
      <vt:variant>
        <vt:i4>32</vt:i4>
      </vt:variant>
      <vt:variant>
        <vt:i4>0</vt:i4>
      </vt:variant>
      <vt:variant>
        <vt:i4>5</vt:i4>
      </vt:variant>
      <vt:variant>
        <vt:lpwstr/>
      </vt:variant>
      <vt:variant>
        <vt:lpwstr>_Toc259527492</vt:lpwstr>
      </vt:variant>
      <vt:variant>
        <vt:i4>1638461</vt:i4>
      </vt:variant>
      <vt:variant>
        <vt:i4>26</vt:i4>
      </vt:variant>
      <vt:variant>
        <vt:i4>0</vt:i4>
      </vt:variant>
      <vt:variant>
        <vt:i4>5</vt:i4>
      </vt:variant>
      <vt:variant>
        <vt:lpwstr/>
      </vt:variant>
      <vt:variant>
        <vt:lpwstr>_Toc259527491</vt:lpwstr>
      </vt:variant>
      <vt:variant>
        <vt:i4>1638461</vt:i4>
      </vt:variant>
      <vt:variant>
        <vt:i4>20</vt:i4>
      </vt:variant>
      <vt:variant>
        <vt:i4>0</vt:i4>
      </vt:variant>
      <vt:variant>
        <vt:i4>5</vt:i4>
      </vt:variant>
      <vt:variant>
        <vt:lpwstr/>
      </vt:variant>
      <vt:variant>
        <vt:lpwstr>_Toc259527490</vt:lpwstr>
      </vt:variant>
      <vt:variant>
        <vt:i4>1572925</vt:i4>
      </vt:variant>
      <vt:variant>
        <vt:i4>14</vt:i4>
      </vt:variant>
      <vt:variant>
        <vt:i4>0</vt:i4>
      </vt:variant>
      <vt:variant>
        <vt:i4>5</vt:i4>
      </vt:variant>
      <vt:variant>
        <vt:lpwstr/>
      </vt:variant>
      <vt:variant>
        <vt:lpwstr>_Toc259527489</vt:lpwstr>
      </vt:variant>
      <vt:variant>
        <vt:i4>1572925</vt:i4>
      </vt:variant>
      <vt:variant>
        <vt:i4>8</vt:i4>
      </vt:variant>
      <vt:variant>
        <vt:i4>0</vt:i4>
      </vt:variant>
      <vt:variant>
        <vt:i4>5</vt:i4>
      </vt:variant>
      <vt:variant>
        <vt:lpwstr/>
      </vt:variant>
      <vt:variant>
        <vt:lpwstr>_Toc259527488</vt:lpwstr>
      </vt:variant>
      <vt:variant>
        <vt:i4>1572925</vt:i4>
      </vt:variant>
      <vt:variant>
        <vt:i4>2</vt:i4>
      </vt:variant>
      <vt:variant>
        <vt:i4>0</vt:i4>
      </vt:variant>
      <vt:variant>
        <vt:i4>5</vt:i4>
      </vt:variant>
      <vt:variant>
        <vt:lpwstr/>
      </vt:variant>
      <vt:variant>
        <vt:lpwstr>_Toc259527487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Monique Steensma</dc:creator>
  <cp:keywords/>
  <cp:lastModifiedBy>Nadejda Rusu</cp:lastModifiedBy>
  <cp:revision>12</cp:revision>
  <cp:lastPrinted>2016-10-27T17:18:00Z</cp:lastPrinted>
  <dcterms:created xsi:type="dcterms:W3CDTF">2019-04-03T19:31:00Z</dcterms:created>
  <dcterms:modified xsi:type="dcterms:W3CDTF">2019-04-15T20:57:00Z</dcterms:modified>
</cp:coreProperties>
</file>